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213D1344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CD1F0C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8.04.2026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272BA2C7" w14:textId="67DA1A7C" w:rsidR="00B12C4D" w:rsidRDefault="003045B8" w:rsidP="003045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Agata promuje ofertę „Zobacz jak Tanio” w reklamie telewizyjnej </w:t>
      </w:r>
    </w:p>
    <w:p w14:paraId="46B13AEE" w14:textId="563DC3C1" w:rsidR="008F4584" w:rsidRDefault="00FA0BE7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Motyw przekazu podprogowego wykorzystała marka Agata w swoim najnowszym spocie telewizyjnym</w:t>
      </w:r>
      <w:r w:rsidR="00D20ADA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. Zabawny dialog sprzedawcy </w:t>
      </w:r>
      <w:r w:rsidR="0044394D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z klientem w sklepie z wyposażeniem wnętrz tłumaczy intencję marki do jak najszerszego komunikowania </w:t>
      </w:r>
      <w:r w:rsidR="00964B1D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oferty „Zobacz jak Tanio” – mebli i dodatków w regularnych, niskich cenach, o której </w:t>
      </w:r>
      <w:r w:rsidR="002E67C5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powinni wiedzieć wszyscy klienci.</w:t>
      </w:r>
    </w:p>
    <w:p w14:paraId="30BEE038" w14:textId="79FEF101" w:rsidR="00663F13" w:rsidRPr="00A91125" w:rsidRDefault="00663F13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Jak </w:t>
      </w:r>
      <w:r w:rsidR="009A4BF5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przekazać</w:t>
      </w:r>
      <w:r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rozmówcy</w:t>
      </w:r>
      <w:r w:rsidR="009A4BF5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informację, która w prosty sposób wbije się w</w:t>
      </w:r>
      <w:r w:rsidR="00EC0AD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jego</w:t>
      </w:r>
      <w:r w:rsidR="009A4BF5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podświadomość?</w:t>
      </w:r>
      <w:r w:rsidR="00EC0AD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Można </w:t>
      </w:r>
      <w:r w:rsidR="00CC208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na przykład</w:t>
      </w:r>
      <w:r w:rsidR="00EC0AD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wykorzystać tzw. przekaz podprogowy i opowiadając o produkcie klientowi wtrącać co chwilę bardzo ważny komunikat: „Zobacz jak Tanio”. To nie tylko zachęta, ale i oficjalna nazwa linii produktów – mebli i dodatków – oferowanych przez popularną sieć Agata</w:t>
      </w:r>
      <w:r w:rsidR="00597A92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. W </w:t>
      </w:r>
      <w:r w:rsidR="00C63D36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kategorii tej znalazły się modne towary, zgodne z aktualnymi trendami, </w:t>
      </w:r>
      <w:r w:rsidR="00A3772E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których regularne ceny są zaskakująco niskie.</w:t>
      </w:r>
    </w:p>
    <w:p w14:paraId="5CE308F6" w14:textId="4470B391" w:rsidR="00A3772E" w:rsidRPr="00A91125" w:rsidRDefault="00A3772E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W tak zabawny sposób marka Agata podeszła do tematu prezentacji swojej oferty w kolejnej odsłonie kampanii telewizyjnej z udziałem Grupy Teatralnej Mumio. </w:t>
      </w:r>
    </w:p>
    <w:p w14:paraId="09C6DAB7" w14:textId="703B943D" w:rsidR="00235558" w:rsidRPr="00AA4419" w:rsidRDefault="00235558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- </w:t>
      </w:r>
      <w:r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>Wprowadzając na rynek ofertę „Zobacz jak Tanio” przyświecał nam cel, aby asortyment ten promować możliwie jak najsze</w:t>
      </w:r>
      <w:r w:rsidR="00830FEA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rzej, docierając z komunikacją do jak największej liczby osób. Efektem tego </w:t>
      </w:r>
      <w:r w:rsidR="009539D5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są m.in. </w:t>
      </w:r>
      <w:r w:rsidR="00316C74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prezentacje konkretnych produktów </w:t>
      </w:r>
      <w:r w:rsidR="00AA4419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z ich niskimi cenami </w:t>
      </w:r>
      <w:r w:rsidR="00FE1A81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w reklamach telewizyjnych, </w:t>
      </w:r>
      <w:r w:rsidR="009539D5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kreacje outdoorowe w obrębie elewacji naszych wielkopowierzchniowych sklepów, </w:t>
      </w:r>
      <w:r w:rsidR="003D03D0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charakterystyczne </w:t>
      </w:r>
      <w:r w:rsidR="00867A46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emblematy „Zobacz jak Tanio” </w:t>
      </w:r>
      <w:r w:rsidR="003D03D0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w kształcie łezek </w:t>
      </w:r>
      <w:r w:rsidR="00867A46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 xml:space="preserve">widoczne na naszej stronie internetowej czy w gazetkach produktowych. Naturalnym więc było dla nas zaprezentowanie tej linii produktów także w historii kreatywnej </w:t>
      </w:r>
      <w:r w:rsidR="00FE1A81" w:rsidRPr="008C36B4">
        <w:rPr>
          <w:rFonts w:eastAsia="Calibri" w:cs="Times New Roman"/>
          <w:i/>
          <w:iCs/>
          <w:color w:val="auto"/>
          <w:sz w:val="22"/>
          <w:bdr w:val="none" w:sz="0" w:space="0" w:color="auto"/>
          <w:lang w:eastAsia="en-US"/>
        </w:rPr>
        <w:t>odgrywanej przez naszych ambasadorów</w:t>
      </w:r>
      <w:r w:rsidR="00FE1A81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– przekonuje </w:t>
      </w:r>
      <w:r w:rsidR="00FE1A81" w:rsidRPr="00AA4419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Krzysztof Wadas, dyrektor ds. marketingu w Agacie.</w:t>
      </w:r>
    </w:p>
    <w:p w14:paraId="448AC4D7" w14:textId="4859FAFC" w:rsidR="00BA0DBF" w:rsidRPr="00A91125" w:rsidRDefault="00806A74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Spot emitowany jest w telewizji w ramach kampanii promocyjnej, trwającej </w:t>
      </w:r>
      <w:r w:rsidR="001473A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do </w:t>
      </w:r>
      <w:r w:rsidR="0019706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26 kwietnia 2026 r.: „Rabaty do 30% na tysiące produktów </w:t>
      </w:r>
      <w:r w:rsidR="00F2529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albo 20 rat 0% bez dodatkowych kosztów”. </w:t>
      </w:r>
      <w:r w:rsidR="005019FB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Za kreację kampanii z Mumio odpowiada agencja PZL, a zakupu mediów w imieniu </w:t>
      </w:r>
      <w:r w:rsidR="000466A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marki dokonuje Spark </w:t>
      </w:r>
      <w:proofErr w:type="spellStart"/>
      <w:r w:rsidR="000466A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Foundry</w:t>
      </w:r>
      <w:proofErr w:type="spellEnd"/>
      <w:r w:rsidR="000466AD" w:rsidRPr="00A9112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. </w:t>
      </w:r>
    </w:p>
    <w:p w14:paraId="6023681B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</w:p>
    <w:p w14:paraId="0F779A4F" w14:textId="77777777" w:rsidR="0099789B" w:rsidRDefault="0099789B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</w:p>
    <w:p w14:paraId="6D812E1F" w14:textId="77777777" w:rsidR="0099789B" w:rsidRPr="004404F9" w:rsidRDefault="0099789B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4D982A79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922832">
        <w:rPr>
          <w:color w:val="212B35"/>
          <w:sz w:val="18"/>
          <w:szCs w:val="18"/>
          <w:shd w:val="clear" w:color="auto" w:fill="FFFFFF"/>
        </w:rPr>
        <w:t>8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922832">
        <w:rPr>
          <w:color w:val="212B35"/>
          <w:sz w:val="18"/>
          <w:szCs w:val="18"/>
          <w:shd w:val="clear" w:color="auto" w:fill="FFFFFF"/>
        </w:rPr>
        <w:t>6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</w:t>
      </w:r>
      <w:r w:rsidR="00B519C6">
        <w:rPr>
          <w:color w:val="212B35"/>
          <w:sz w:val="18"/>
          <w:szCs w:val="18"/>
          <w:shd w:val="clear" w:color="auto" w:fill="FFFFFF"/>
        </w:rPr>
        <w:t>ów</w:t>
      </w:r>
      <w:r w:rsidR="00205960">
        <w:rPr>
          <w:color w:val="212B35"/>
          <w:sz w:val="18"/>
          <w:szCs w:val="18"/>
          <w:shd w:val="clear" w:color="auto" w:fill="FFFFFF"/>
        </w:rPr>
        <w:t xml:space="preserve">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7960" w14:textId="77777777" w:rsidR="006C1CBC" w:rsidRDefault="006C1CBC">
      <w:pPr>
        <w:spacing w:after="0" w:line="240" w:lineRule="auto"/>
      </w:pPr>
      <w:r>
        <w:separator/>
      </w:r>
    </w:p>
  </w:endnote>
  <w:endnote w:type="continuationSeparator" w:id="0">
    <w:p w14:paraId="24614314" w14:textId="77777777" w:rsidR="006C1CBC" w:rsidRDefault="006C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E81D" w14:textId="77777777" w:rsidR="006C1CBC" w:rsidRDefault="006C1CBC">
      <w:pPr>
        <w:spacing w:after="0" w:line="240" w:lineRule="auto"/>
      </w:pPr>
      <w:r>
        <w:separator/>
      </w:r>
    </w:p>
  </w:footnote>
  <w:footnote w:type="continuationSeparator" w:id="0">
    <w:p w14:paraId="6F2A34A4" w14:textId="77777777" w:rsidR="006C1CBC" w:rsidRDefault="006C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13B5"/>
    <w:rsid w:val="00015335"/>
    <w:rsid w:val="00034215"/>
    <w:rsid w:val="00036013"/>
    <w:rsid w:val="00042916"/>
    <w:rsid w:val="00043605"/>
    <w:rsid w:val="000466AD"/>
    <w:rsid w:val="00052705"/>
    <w:rsid w:val="00053893"/>
    <w:rsid w:val="00054DD3"/>
    <w:rsid w:val="00065838"/>
    <w:rsid w:val="000837BB"/>
    <w:rsid w:val="00090927"/>
    <w:rsid w:val="000B5D56"/>
    <w:rsid w:val="000C128A"/>
    <w:rsid w:val="000D6DA9"/>
    <w:rsid w:val="000E262E"/>
    <w:rsid w:val="000F4785"/>
    <w:rsid w:val="00114F52"/>
    <w:rsid w:val="00117CE7"/>
    <w:rsid w:val="00117D3F"/>
    <w:rsid w:val="00121B21"/>
    <w:rsid w:val="001240A5"/>
    <w:rsid w:val="00136A24"/>
    <w:rsid w:val="001473A4"/>
    <w:rsid w:val="00147F76"/>
    <w:rsid w:val="00157133"/>
    <w:rsid w:val="00161DD1"/>
    <w:rsid w:val="001640E8"/>
    <w:rsid w:val="0016493B"/>
    <w:rsid w:val="00193596"/>
    <w:rsid w:val="00193E0B"/>
    <w:rsid w:val="00197067"/>
    <w:rsid w:val="001A76FD"/>
    <w:rsid w:val="001B000A"/>
    <w:rsid w:val="001B5286"/>
    <w:rsid w:val="001B5FBB"/>
    <w:rsid w:val="001B6C81"/>
    <w:rsid w:val="001D630F"/>
    <w:rsid w:val="001E5EBD"/>
    <w:rsid w:val="001E7717"/>
    <w:rsid w:val="001E7A5D"/>
    <w:rsid w:val="001F7725"/>
    <w:rsid w:val="00202D92"/>
    <w:rsid w:val="00204780"/>
    <w:rsid w:val="00205960"/>
    <w:rsid w:val="00215880"/>
    <w:rsid w:val="00217FB9"/>
    <w:rsid w:val="002202EC"/>
    <w:rsid w:val="00226FD3"/>
    <w:rsid w:val="00235558"/>
    <w:rsid w:val="0024391E"/>
    <w:rsid w:val="00253A47"/>
    <w:rsid w:val="00272590"/>
    <w:rsid w:val="00280B66"/>
    <w:rsid w:val="00280ED9"/>
    <w:rsid w:val="00283890"/>
    <w:rsid w:val="00287C6B"/>
    <w:rsid w:val="00296D50"/>
    <w:rsid w:val="002A5ECE"/>
    <w:rsid w:val="002A6C7E"/>
    <w:rsid w:val="002B53CD"/>
    <w:rsid w:val="002B7C65"/>
    <w:rsid w:val="002C7394"/>
    <w:rsid w:val="002E67C5"/>
    <w:rsid w:val="002F2436"/>
    <w:rsid w:val="003001E2"/>
    <w:rsid w:val="00300D1A"/>
    <w:rsid w:val="00301076"/>
    <w:rsid w:val="003045B8"/>
    <w:rsid w:val="003117E3"/>
    <w:rsid w:val="003131A4"/>
    <w:rsid w:val="003168A4"/>
    <w:rsid w:val="00316C74"/>
    <w:rsid w:val="00323FA2"/>
    <w:rsid w:val="00347C88"/>
    <w:rsid w:val="00351C70"/>
    <w:rsid w:val="00361CD3"/>
    <w:rsid w:val="0037031D"/>
    <w:rsid w:val="003842B9"/>
    <w:rsid w:val="00392994"/>
    <w:rsid w:val="00395C20"/>
    <w:rsid w:val="003A0489"/>
    <w:rsid w:val="003B0F01"/>
    <w:rsid w:val="003C2FC7"/>
    <w:rsid w:val="003C386F"/>
    <w:rsid w:val="003D03D0"/>
    <w:rsid w:val="003D4B6A"/>
    <w:rsid w:val="003D5439"/>
    <w:rsid w:val="003E1466"/>
    <w:rsid w:val="003E671A"/>
    <w:rsid w:val="003E73B6"/>
    <w:rsid w:val="003E7C1D"/>
    <w:rsid w:val="00413AC5"/>
    <w:rsid w:val="00416A75"/>
    <w:rsid w:val="004210C7"/>
    <w:rsid w:val="00423C1D"/>
    <w:rsid w:val="004253D9"/>
    <w:rsid w:val="004301FB"/>
    <w:rsid w:val="004404F9"/>
    <w:rsid w:val="0044394D"/>
    <w:rsid w:val="00456AA6"/>
    <w:rsid w:val="00456E2D"/>
    <w:rsid w:val="00480615"/>
    <w:rsid w:val="0048369B"/>
    <w:rsid w:val="004961AE"/>
    <w:rsid w:val="004A0CFC"/>
    <w:rsid w:val="004A0F77"/>
    <w:rsid w:val="004A237D"/>
    <w:rsid w:val="004A3C7B"/>
    <w:rsid w:val="004B102B"/>
    <w:rsid w:val="004B4A80"/>
    <w:rsid w:val="004C3588"/>
    <w:rsid w:val="004F6E0B"/>
    <w:rsid w:val="005019C9"/>
    <w:rsid w:val="005019FB"/>
    <w:rsid w:val="005047CB"/>
    <w:rsid w:val="00522799"/>
    <w:rsid w:val="005253CC"/>
    <w:rsid w:val="00554534"/>
    <w:rsid w:val="00577E99"/>
    <w:rsid w:val="0058114A"/>
    <w:rsid w:val="005822E0"/>
    <w:rsid w:val="0058407E"/>
    <w:rsid w:val="00586F63"/>
    <w:rsid w:val="0059528F"/>
    <w:rsid w:val="00597A92"/>
    <w:rsid w:val="005C14D9"/>
    <w:rsid w:val="005C2476"/>
    <w:rsid w:val="005C4E49"/>
    <w:rsid w:val="005C7417"/>
    <w:rsid w:val="005C7AE4"/>
    <w:rsid w:val="005D0996"/>
    <w:rsid w:val="005D7DB2"/>
    <w:rsid w:val="005F5ABD"/>
    <w:rsid w:val="005F730F"/>
    <w:rsid w:val="00607FCA"/>
    <w:rsid w:val="00621F5C"/>
    <w:rsid w:val="00652254"/>
    <w:rsid w:val="006529C1"/>
    <w:rsid w:val="00656BDB"/>
    <w:rsid w:val="00663F13"/>
    <w:rsid w:val="00670368"/>
    <w:rsid w:val="00675237"/>
    <w:rsid w:val="0069546D"/>
    <w:rsid w:val="006A15B6"/>
    <w:rsid w:val="006A5122"/>
    <w:rsid w:val="006A7921"/>
    <w:rsid w:val="006B5E99"/>
    <w:rsid w:val="006C1CBC"/>
    <w:rsid w:val="006C6C67"/>
    <w:rsid w:val="006D2500"/>
    <w:rsid w:val="006E4C13"/>
    <w:rsid w:val="006F353A"/>
    <w:rsid w:val="007046AB"/>
    <w:rsid w:val="0071373F"/>
    <w:rsid w:val="0072527A"/>
    <w:rsid w:val="00733F92"/>
    <w:rsid w:val="0075464B"/>
    <w:rsid w:val="007616CF"/>
    <w:rsid w:val="007D0CE9"/>
    <w:rsid w:val="008029FF"/>
    <w:rsid w:val="00803E4A"/>
    <w:rsid w:val="00806399"/>
    <w:rsid w:val="00806A74"/>
    <w:rsid w:val="00812DAD"/>
    <w:rsid w:val="00817801"/>
    <w:rsid w:val="008209AA"/>
    <w:rsid w:val="00830FEA"/>
    <w:rsid w:val="008330A6"/>
    <w:rsid w:val="008357BC"/>
    <w:rsid w:val="00840B3B"/>
    <w:rsid w:val="00844CA6"/>
    <w:rsid w:val="00860E50"/>
    <w:rsid w:val="00867A46"/>
    <w:rsid w:val="00870828"/>
    <w:rsid w:val="00876561"/>
    <w:rsid w:val="00882414"/>
    <w:rsid w:val="0088516F"/>
    <w:rsid w:val="008854A6"/>
    <w:rsid w:val="008945D1"/>
    <w:rsid w:val="008A145C"/>
    <w:rsid w:val="008A49A8"/>
    <w:rsid w:val="008B15D0"/>
    <w:rsid w:val="008C36B4"/>
    <w:rsid w:val="008F4584"/>
    <w:rsid w:val="00903E71"/>
    <w:rsid w:val="00904F85"/>
    <w:rsid w:val="009054FB"/>
    <w:rsid w:val="00915DFA"/>
    <w:rsid w:val="00922832"/>
    <w:rsid w:val="00925D7B"/>
    <w:rsid w:val="009539D5"/>
    <w:rsid w:val="00954383"/>
    <w:rsid w:val="00955B5A"/>
    <w:rsid w:val="009609B0"/>
    <w:rsid w:val="00964B1D"/>
    <w:rsid w:val="009925CD"/>
    <w:rsid w:val="00996102"/>
    <w:rsid w:val="0099789B"/>
    <w:rsid w:val="009A4BF5"/>
    <w:rsid w:val="009A6520"/>
    <w:rsid w:val="009B3849"/>
    <w:rsid w:val="009F1D2C"/>
    <w:rsid w:val="009F5900"/>
    <w:rsid w:val="00A00755"/>
    <w:rsid w:val="00A02753"/>
    <w:rsid w:val="00A3621B"/>
    <w:rsid w:val="00A3772E"/>
    <w:rsid w:val="00A433C1"/>
    <w:rsid w:val="00A57A44"/>
    <w:rsid w:val="00A83DAB"/>
    <w:rsid w:val="00A83FC1"/>
    <w:rsid w:val="00A91125"/>
    <w:rsid w:val="00A94D88"/>
    <w:rsid w:val="00AA1A77"/>
    <w:rsid w:val="00AA4419"/>
    <w:rsid w:val="00AB435E"/>
    <w:rsid w:val="00AC3B00"/>
    <w:rsid w:val="00AC4FA5"/>
    <w:rsid w:val="00AD5E35"/>
    <w:rsid w:val="00AD5FF9"/>
    <w:rsid w:val="00AE37BF"/>
    <w:rsid w:val="00AE7383"/>
    <w:rsid w:val="00B016AC"/>
    <w:rsid w:val="00B05C0D"/>
    <w:rsid w:val="00B12C4D"/>
    <w:rsid w:val="00B14F2F"/>
    <w:rsid w:val="00B21500"/>
    <w:rsid w:val="00B21CE9"/>
    <w:rsid w:val="00B26F20"/>
    <w:rsid w:val="00B424ED"/>
    <w:rsid w:val="00B436B1"/>
    <w:rsid w:val="00B519C6"/>
    <w:rsid w:val="00B716DC"/>
    <w:rsid w:val="00B7632C"/>
    <w:rsid w:val="00B9195B"/>
    <w:rsid w:val="00BA0AC5"/>
    <w:rsid w:val="00BA0DBF"/>
    <w:rsid w:val="00BA6783"/>
    <w:rsid w:val="00BC02D8"/>
    <w:rsid w:val="00BC27DD"/>
    <w:rsid w:val="00BE1DAD"/>
    <w:rsid w:val="00BE2458"/>
    <w:rsid w:val="00BE6187"/>
    <w:rsid w:val="00BE72AC"/>
    <w:rsid w:val="00BE7603"/>
    <w:rsid w:val="00BF145A"/>
    <w:rsid w:val="00C048F4"/>
    <w:rsid w:val="00C13F58"/>
    <w:rsid w:val="00C17A0E"/>
    <w:rsid w:val="00C27435"/>
    <w:rsid w:val="00C33A68"/>
    <w:rsid w:val="00C50979"/>
    <w:rsid w:val="00C63D36"/>
    <w:rsid w:val="00C74B7D"/>
    <w:rsid w:val="00C94E1E"/>
    <w:rsid w:val="00CC0CF9"/>
    <w:rsid w:val="00CC2061"/>
    <w:rsid w:val="00CC2081"/>
    <w:rsid w:val="00CC4930"/>
    <w:rsid w:val="00CD1F0C"/>
    <w:rsid w:val="00CF1F05"/>
    <w:rsid w:val="00CF21F0"/>
    <w:rsid w:val="00D075A1"/>
    <w:rsid w:val="00D20ADA"/>
    <w:rsid w:val="00D2352D"/>
    <w:rsid w:val="00D31EB1"/>
    <w:rsid w:val="00D44E4A"/>
    <w:rsid w:val="00D570CA"/>
    <w:rsid w:val="00D60DB9"/>
    <w:rsid w:val="00D61A8F"/>
    <w:rsid w:val="00D620A1"/>
    <w:rsid w:val="00D66D71"/>
    <w:rsid w:val="00D97290"/>
    <w:rsid w:val="00D97376"/>
    <w:rsid w:val="00D97CFD"/>
    <w:rsid w:val="00DA26AD"/>
    <w:rsid w:val="00DC2914"/>
    <w:rsid w:val="00DD3747"/>
    <w:rsid w:val="00DE442A"/>
    <w:rsid w:val="00DF3807"/>
    <w:rsid w:val="00E03331"/>
    <w:rsid w:val="00E03AEE"/>
    <w:rsid w:val="00E130DB"/>
    <w:rsid w:val="00E1713D"/>
    <w:rsid w:val="00E43091"/>
    <w:rsid w:val="00E43399"/>
    <w:rsid w:val="00E462D3"/>
    <w:rsid w:val="00E718D9"/>
    <w:rsid w:val="00E71DFB"/>
    <w:rsid w:val="00E729BD"/>
    <w:rsid w:val="00E80793"/>
    <w:rsid w:val="00E816E3"/>
    <w:rsid w:val="00E82C55"/>
    <w:rsid w:val="00E91A20"/>
    <w:rsid w:val="00E968E3"/>
    <w:rsid w:val="00E9699D"/>
    <w:rsid w:val="00EB2FAC"/>
    <w:rsid w:val="00EB4A83"/>
    <w:rsid w:val="00EB5CF7"/>
    <w:rsid w:val="00EC0ADD"/>
    <w:rsid w:val="00ED0627"/>
    <w:rsid w:val="00ED641A"/>
    <w:rsid w:val="00EF026A"/>
    <w:rsid w:val="00EF4753"/>
    <w:rsid w:val="00EF59C1"/>
    <w:rsid w:val="00F17FA9"/>
    <w:rsid w:val="00F25294"/>
    <w:rsid w:val="00F269CE"/>
    <w:rsid w:val="00F27CB1"/>
    <w:rsid w:val="00F439CC"/>
    <w:rsid w:val="00F4453B"/>
    <w:rsid w:val="00F53724"/>
    <w:rsid w:val="00F67B9C"/>
    <w:rsid w:val="00F77789"/>
    <w:rsid w:val="00F82120"/>
    <w:rsid w:val="00F82430"/>
    <w:rsid w:val="00F878F2"/>
    <w:rsid w:val="00F95718"/>
    <w:rsid w:val="00FA0BE7"/>
    <w:rsid w:val="00FA4F1D"/>
    <w:rsid w:val="00FA71E5"/>
    <w:rsid w:val="00FB0BBB"/>
    <w:rsid w:val="00FB1079"/>
    <w:rsid w:val="00FB39CA"/>
    <w:rsid w:val="00FD7075"/>
    <w:rsid w:val="00FE1A81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204</cp:revision>
  <cp:lastPrinted>2025-11-13T11:05:00Z</cp:lastPrinted>
  <dcterms:created xsi:type="dcterms:W3CDTF">2025-11-13T10:41:00Z</dcterms:created>
  <dcterms:modified xsi:type="dcterms:W3CDTF">2026-04-08T12:21:00Z</dcterms:modified>
</cp:coreProperties>
</file>