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F472C" w14:textId="77777777" w:rsidR="001D2AFF" w:rsidRDefault="001D2AFF" w:rsidP="001D2AFF">
      <w:pPr>
        <w:spacing w:after="0" w:line="240" w:lineRule="auto"/>
        <w:jc w:val="both"/>
        <w:rPr>
          <w:rFonts w:ascii="Arial" w:hAnsi="Arial" w:cs="Arial"/>
          <w:i/>
          <w:iCs/>
          <w:lang w:val="pl-PL"/>
        </w:rPr>
      </w:pPr>
    </w:p>
    <w:p w14:paraId="39FE6A02" w14:textId="1AD97491" w:rsidR="00AB6C84" w:rsidRDefault="00AB6C84" w:rsidP="00AB6C84">
      <w:pPr>
        <w:pStyle w:val="Tytu"/>
        <w:jc w:val="center"/>
        <w:rPr>
          <w:rFonts w:ascii="Arial" w:eastAsiaTheme="minorHAnsi" w:hAnsi="Arial" w:cs="Arial"/>
          <w:b/>
          <w:bCs/>
          <w:spacing w:val="0"/>
          <w:kern w:val="2"/>
          <w:sz w:val="22"/>
          <w:szCs w:val="22"/>
          <w:lang w:val="pl-PL"/>
          <w14:ligatures w14:val="standardContextual"/>
        </w:rPr>
      </w:pPr>
      <w:r w:rsidRPr="00AB6C84">
        <w:rPr>
          <w:rFonts w:ascii="Arial" w:eastAsiaTheme="minorHAnsi" w:hAnsi="Arial" w:cs="Arial"/>
          <w:b/>
          <w:bCs/>
          <w:spacing w:val="0"/>
          <w:kern w:val="2"/>
          <w:sz w:val="22"/>
          <w:szCs w:val="22"/>
          <w:lang w:val="pl-PL"/>
          <w14:ligatures w14:val="standardContextual"/>
        </w:rPr>
        <w:t>W 2025 r. wolumen transakcji inwestycyjnych w Europie Środkowo-Wschodniej sięgnął 11,8 mld EUR – za ożywieniem stoi kapitał krajowy</w:t>
      </w:r>
    </w:p>
    <w:p w14:paraId="71B807C6" w14:textId="77777777" w:rsidR="00AB6C84" w:rsidRPr="00AB6C84" w:rsidRDefault="00AB6C84" w:rsidP="00AB6C84">
      <w:pPr>
        <w:rPr>
          <w:lang w:val="pl-PL"/>
        </w:rPr>
      </w:pPr>
    </w:p>
    <w:p w14:paraId="66B573E7" w14:textId="3951A02F" w:rsidR="00AB6C84" w:rsidRPr="00AB6C84" w:rsidRDefault="00AB6C84" w:rsidP="00AB6C84">
      <w:pPr>
        <w:spacing w:line="240" w:lineRule="auto"/>
        <w:jc w:val="both"/>
        <w:rPr>
          <w:rFonts w:ascii="Arial" w:hAnsi="Arial" w:cs="Arial"/>
          <w:b/>
          <w:bCs/>
          <w:lang w:val="pl-PL"/>
        </w:rPr>
      </w:pPr>
      <w:r w:rsidRPr="00AB6C84">
        <w:rPr>
          <w:rFonts w:ascii="Arial" w:hAnsi="Arial" w:cs="Arial"/>
          <w:b/>
          <w:bCs/>
          <w:lang w:val="pl-PL"/>
        </w:rPr>
        <w:t xml:space="preserve">Jak wynika z najnowszych danych międzynarodowej firmy doradczej Cushman &amp; Wakefield, całkowita wartość transakcji inwestycyjnych w 2025 roku w Europie Środkowo-Wschodniej wyniosła ok. 11,8 mld EUR, co oznacza wzrost o 34,0% r/r i najlepszy wynik roczny od 2019 roku. </w:t>
      </w:r>
      <w:r w:rsidR="00BD53AE">
        <w:rPr>
          <w:rFonts w:ascii="Arial" w:hAnsi="Arial" w:cs="Arial"/>
          <w:b/>
          <w:bCs/>
          <w:lang w:val="pl-PL"/>
        </w:rPr>
        <w:t xml:space="preserve">Polska odpowiadała za 38% wolumenu, Czechy – blisko 36% i Słowacja – ok. 9%. </w:t>
      </w:r>
      <w:r w:rsidRPr="00AB6C84">
        <w:rPr>
          <w:rFonts w:ascii="Arial" w:hAnsi="Arial" w:cs="Arial"/>
          <w:b/>
          <w:bCs/>
          <w:lang w:val="pl-PL"/>
        </w:rPr>
        <w:t>W czwartym kwartale odnotowano znaczną poprawę płynności, potwierdzającą wyraźny powrót kapitału do regionu. Ponadto stopy kapitalizacji dla najlepszych aktywów stabilizują się przy selektywnej kompresji w segmencie biurowym i logistycznym; rotacja sektorowa i transakcje portfelowe sygnalizują wejście rynku w fazę wzrostu w 2026 roku.</w:t>
      </w:r>
    </w:p>
    <w:p w14:paraId="507A7AEC" w14:textId="60DDD477" w:rsidR="00AB6C84" w:rsidRPr="00801608" w:rsidRDefault="00AB6C84" w:rsidP="00801608">
      <w:pPr>
        <w:jc w:val="both"/>
        <w:rPr>
          <w:rFonts w:ascii="Arial" w:hAnsi="Arial" w:cs="Arial"/>
          <w:lang w:val="pl-PL"/>
        </w:rPr>
      </w:pPr>
      <w:r w:rsidRPr="00801608">
        <w:rPr>
          <w:rFonts w:ascii="Arial" w:hAnsi="Arial" w:cs="Arial"/>
          <w:lang w:val="pl-PL"/>
        </w:rPr>
        <w:t>Miniony rok upłynął pod znakiem trzech zmian strukturalnych. Po pierwsze, kapitał krajowy odpowiadał za rekordowe 65% całkowitego wolumenu. Po drugie, stopy kapitalizacji dla najlepszych aktywów utrzymywały się zasadniczo na stabilnym poziomie, przy czym selektywna kompresja dotyczyła najbardziej atrakcyjnych nieruchomości biurowych i logistycznych. I po trzecie, odnotowano znaczącą dywersyfikację inwestycji między sektorami – liderem został segment nieruchomości biurowych, którego udział w łącznych obrotach wzrósł do 35,9%. Silną pozycję w strukturze popytu utrzymał sektor magazynowy (25,5%), a na kolejnych miejscach znalazły się nieruchomości handlowe (23,7%) oraz hotelowe, których udział w całkowitym wolumenie wzrósł do rekordowych 9%.</w:t>
      </w:r>
      <w:r w:rsidR="00BD53AE">
        <w:rPr>
          <w:rFonts w:ascii="Arial" w:hAnsi="Arial" w:cs="Arial"/>
          <w:lang w:val="pl-PL"/>
        </w:rPr>
        <w:t xml:space="preserve"> Podobna sytuacja dotyczyła polskiego rynku, na którym dominowały transakcje w obiekty biurowe odpowiadające za 39% wolumenu. Na drugim miejscu uplasowały się magazyny – 33% i nieruchomości handlowe – 19%. Umowy kupna sprzedaży w sektorze hotelowym i mieszkaniowym wygenerowały odpowiednio 8% i 1% całkowitej wartości.</w:t>
      </w:r>
    </w:p>
    <w:p w14:paraId="05CA9497" w14:textId="7EDF6918" w:rsidR="00AB6C84" w:rsidRPr="00801608" w:rsidRDefault="00AB6C84" w:rsidP="00801608">
      <w:pPr>
        <w:jc w:val="both"/>
        <w:rPr>
          <w:rFonts w:ascii="Arial" w:hAnsi="Arial" w:cs="Arial"/>
          <w:lang w:val="pl-PL"/>
        </w:rPr>
      </w:pPr>
      <w:r w:rsidRPr="00801608">
        <w:rPr>
          <w:rFonts w:ascii="Arial" w:hAnsi="Arial" w:cs="Arial"/>
          <w:lang w:val="pl-PL"/>
        </w:rPr>
        <w:t>–</w:t>
      </w:r>
      <w:r w:rsidR="00393302">
        <w:rPr>
          <w:rFonts w:ascii="Arial" w:hAnsi="Arial" w:cs="Arial"/>
          <w:lang w:val="pl-PL"/>
        </w:rPr>
        <w:t xml:space="preserve"> </w:t>
      </w:r>
      <w:r w:rsidR="00393302" w:rsidRPr="00393302">
        <w:rPr>
          <w:rFonts w:ascii="Arial" w:hAnsi="Arial" w:cs="Arial"/>
          <w:i/>
          <w:iCs/>
          <w:lang w:val="pl-PL"/>
        </w:rPr>
        <w:t xml:space="preserve">Region Europy Środkowo-Wschodniej wchodzi w 2026 rok z większą przejrzystością cenową i rosnącą płynnością na lokalnych rynkach. W przypadku najbardziej atrakcyjnych obiektów biurowych i logistycznych w lokalizacjach o ograniczonej podaży obserwujemy już wzrosty cen. Jednocześnie na rynek powróciły transakcje portfelowe </w:t>
      </w:r>
      <w:r w:rsidR="00393302">
        <w:rPr>
          <w:rFonts w:ascii="Arial" w:hAnsi="Arial" w:cs="Arial"/>
          <w:i/>
          <w:iCs/>
          <w:lang w:val="pl-PL"/>
        </w:rPr>
        <w:t xml:space="preserve">oraz umowy </w:t>
      </w:r>
      <w:r w:rsidR="00393302" w:rsidRPr="00393302">
        <w:rPr>
          <w:rFonts w:ascii="Arial" w:hAnsi="Arial" w:cs="Arial"/>
          <w:i/>
          <w:iCs/>
          <w:lang w:val="pl-PL"/>
        </w:rPr>
        <w:t xml:space="preserve">o wartości powyżej 100 mln EUR. Z perspektywy rynku kapitałowego kluczowym zjawiskiem 2025 roku w regionie CEE był bezprecedensowy udział kapitału krajowego. W Polsce rodzimi inwestorzy odpowiadali za ok. 20% całkowitego wolumenu transakcji i </w:t>
      </w:r>
      <w:r w:rsidR="00393302">
        <w:rPr>
          <w:rFonts w:ascii="Arial" w:hAnsi="Arial" w:cs="Arial"/>
          <w:i/>
          <w:iCs/>
          <w:lang w:val="pl-PL"/>
        </w:rPr>
        <w:t>około</w:t>
      </w:r>
      <w:r w:rsidR="00393302" w:rsidRPr="00393302">
        <w:rPr>
          <w:rFonts w:ascii="Arial" w:hAnsi="Arial" w:cs="Arial"/>
          <w:i/>
          <w:iCs/>
          <w:lang w:val="pl-PL"/>
        </w:rPr>
        <w:t xml:space="preserve"> 30% w segmencie biurowym, co jest namacalnym dowodem profesjonalizacji lokalnych graczy </w:t>
      </w:r>
      <w:r w:rsidR="00BD53AE">
        <w:rPr>
          <w:rFonts w:ascii="Arial" w:hAnsi="Arial" w:cs="Arial"/>
          <w:lang w:val="pl-PL"/>
        </w:rPr>
        <w:t xml:space="preserve">– tłumaczy </w:t>
      </w:r>
      <w:r w:rsidR="00393302">
        <w:rPr>
          <w:rFonts w:ascii="Arial" w:hAnsi="Arial" w:cs="Arial"/>
          <w:b/>
          <w:bCs/>
          <w:lang w:val="pl-PL"/>
        </w:rPr>
        <w:t>Paweł Partyka</w:t>
      </w:r>
      <w:r w:rsidR="00BD53AE" w:rsidRPr="00BD53AE">
        <w:rPr>
          <w:rFonts w:ascii="Arial" w:hAnsi="Arial" w:cs="Arial"/>
          <w:b/>
          <w:bCs/>
          <w:lang w:val="pl-PL"/>
        </w:rPr>
        <w:t>,</w:t>
      </w:r>
      <w:r w:rsidR="00393302">
        <w:rPr>
          <w:rFonts w:ascii="Arial" w:hAnsi="Arial" w:cs="Arial"/>
          <w:b/>
          <w:bCs/>
          <w:lang w:val="pl-PL"/>
        </w:rPr>
        <w:t xml:space="preserve"> </w:t>
      </w:r>
      <w:proofErr w:type="spellStart"/>
      <w:r w:rsidR="00393302" w:rsidRPr="00393302">
        <w:rPr>
          <w:rFonts w:ascii="Arial" w:hAnsi="Arial" w:cs="Arial"/>
          <w:b/>
          <w:bCs/>
          <w:lang w:val="pl-PL"/>
        </w:rPr>
        <w:t>Head</w:t>
      </w:r>
      <w:proofErr w:type="spellEnd"/>
      <w:r w:rsidR="00393302" w:rsidRPr="00393302">
        <w:rPr>
          <w:rFonts w:ascii="Arial" w:hAnsi="Arial" w:cs="Arial"/>
          <w:b/>
          <w:bCs/>
          <w:lang w:val="pl-PL"/>
        </w:rPr>
        <w:t xml:space="preserve"> of Capital </w:t>
      </w:r>
      <w:proofErr w:type="spellStart"/>
      <w:r w:rsidR="00393302" w:rsidRPr="00393302">
        <w:rPr>
          <w:rFonts w:ascii="Arial" w:hAnsi="Arial" w:cs="Arial"/>
          <w:b/>
          <w:bCs/>
          <w:lang w:val="pl-PL"/>
        </w:rPr>
        <w:t>Markets</w:t>
      </w:r>
      <w:proofErr w:type="spellEnd"/>
      <w:r w:rsidR="00393302" w:rsidRPr="00393302">
        <w:rPr>
          <w:rFonts w:ascii="Arial" w:hAnsi="Arial" w:cs="Arial"/>
          <w:b/>
          <w:bCs/>
          <w:lang w:val="pl-PL"/>
        </w:rPr>
        <w:t xml:space="preserve"> Poland</w:t>
      </w:r>
      <w:r w:rsidR="00393302">
        <w:rPr>
          <w:rFonts w:ascii="Arial" w:hAnsi="Arial" w:cs="Arial"/>
          <w:b/>
          <w:bCs/>
          <w:lang w:val="pl-PL"/>
        </w:rPr>
        <w:t xml:space="preserve">, </w:t>
      </w:r>
      <w:r w:rsidR="00BD53AE" w:rsidRPr="00BD53AE">
        <w:rPr>
          <w:rFonts w:ascii="Arial" w:hAnsi="Arial" w:cs="Arial"/>
          <w:b/>
          <w:bCs/>
          <w:lang w:val="pl-PL"/>
        </w:rPr>
        <w:t>Cushman &amp; Wakefield.</w:t>
      </w:r>
      <w:r w:rsidR="00BD53AE">
        <w:rPr>
          <w:rFonts w:ascii="Arial" w:hAnsi="Arial" w:cs="Arial"/>
          <w:lang w:val="pl-PL"/>
        </w:rPr>
        <w:t xml:space="preserve"> </w:t>
      </w:r>
    </w:p>
    <w:p w14:paraId="47B32B10" w14:textId="318D873F" w:rsidR="00AB6C84" w:rsidRPr="00801608" w:rsidRDefault="00756D7F" w:rsidP="00801608">
      <w:pPr>
        <w:jc w:val="both"/>
        <w:rPr>
          <w:rFonts w:ascii="Arial" w:hAnsi="Arial" w:cs="Arial"/>
          <w:lang w:val="pl-PL"/>
        </w:rPr>
      </w:pPr>
      <w:r w:rsidRPr="00756D7F">
        <w:rPr>
          <w:rFonts w:ascii="Arial" w:hAnsi="Arial" w:cs="Arial"/>
          <w:lang w:val="pl-PL"/>
        </w:rPr>
        <w:t xml:space="preserve">Do wzrostu aktywności inwestycyjnej przyczyniła się jakość dostępnych produktów oraz sytuacja </w:t>
      </w:r>
      <w:r>
        <w:rPr>
          <w:rFonts w:ascii="Arial" w:hAnsi="Arial" w:cs="Arial"/>
          <w:lang w:val="pl-PL"/>
        </w:rPr>
        <w:t>w poszczególnych segmentach rynku</w:t>
      </w:r>
      <w:r w:rsidRPr="00756D7F">
        <w:rPr>
          <w:rFonts w:ascii="Arial" w:hAnsi="Arial" w:cs="Arial"/>
          <w:lang w:val="pl-PL"/>
        </w:rPr>
        <w:t xml:space="preserve">. </w:t>
      </w:r>
      <w:r>
        <w:rPr>
          <w:rFonts w:ascii="Arial" w:hAnsi="Arial" w:cs="Arial"/>
          <w:lang w:val="pl-PL"/>
        </w:rPr>
        <w:t>Sektor magazynowy oferuje</w:t>
      </w:r>
      <w:r w:rsidRPr="00756D7F">
        <w:rPr>
          <w:rFonts w:ascii="Arial" w:hAnsi="Arial" w:cs="Arial"/>
          <w:lang w:val="pl-PL"/>
        </w:rPr>
        <w:t xml:space="preserve"> relatywnie dużo nowoczesnych </w:t>
      </w:r>
      <w:r>
        <w:rPr>
          <w:rFonts w:ascii="Arial" w:hAnsi="Arial" w:cs="Arial"/>
          <w:lang w:val="pl-PL"/>
        </w:rPr>
        <w:t>aktywów z</w:t>
      </w:r>
      <w:r w:rsidRPr="00756D7F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mocnym </w:t>
      </w:r>
      <w:r w:rsidRPr="00756D7F">
        <w:rPr>
          <w:rFonts w:ascii="Arial" w:hAnsi="Arial" w:cs="Arial"/>
          <w:lang w:val="pl-PL"/>
        </w:rPr>
        <w:t>profil</w:t>
      </w:r>
      <w:r>
        <w:rPr>
          <w:rFonts w:ascii="Arial" w:hAnsi="Arial" w:cs="Arial"/>
          <w:lang w:val="pl-PL"/>
        </w:rPr>
        <w:t>em</w:t>
      </w:r>
      <w:r w:rsidRPr="00756D7F">
        <w:rPr>
          <w:rFonts w:ascii="Arial" w:hAnsi="Arial" w:cs="Arial"/>
          <w:lang w:val="pl-PL"/>
        </w:rPr>
        <w:t xml:space="preserve"> najemców i stabiln</w:t>
      </w:r>
      <w:r>
        <w:rPr>
          <w:rFonts w:ascii="Arial" w:hAnsi="Arial" w:cs="Arial"/>
          <w:lang w:val="pl-PL"/>
        </w:rPr>
        <w:t>ymi</w:t>
      </w:r>
      <w:r w:rsidRPr="00756D7F">
        <w:rPr>
          <w:rFonts w:ascii="Arial" w:hAnsi="Arial" w:cs="Arial"/>
          <w:lang w:val="pl-PL"/>
        </w:rPr>
        <w:t xml:space="preserve"> parametr</w:t>
      </w:r>
      <w:r>
        <w:rPr>
          <w:rFonts w:ascii="Arial" w:hAnsi="Arial" w:cs="Arial"/>
          <w:lang w:val="pl-PL"/>
        </w:rPr>
        <w:t>ami</w:t>
      </w:r>
      <w:r w:rsidRPr="00756D7F">
        <w:rPr>
          <w:rFonts w:ascii="Arial" w:hAnsi="Arial" w:cs="Arial"/>
          <w:lang w:val="pl-PL"/>
        </w:rPr>
        <w:t xml:space="preserve"> operacyjn</w:t>
      </w:r>
      <w:r>
        <w:rPr>
          <w:rFonts w:ascii="Arial" w:hAnsi="Arial" w:cs="Arial"/>
          <w:lang w:val="pl-PL"/>
        </w:rPr>
        <w:t>ymi,</w:t>
      </w:r>
      <w:r w:rsidRPr="00756D7F">
        <w:rPr>
          <w:rFonts w:ascii="Arial" w:hAnsi="Arial" w:cs="Arial"/>
          <w:lang w:val="pl-PL"/>
        </w:rPr>
        <w:t xml:space="preserve"> co wspiera zainteresowanie inwestorów. </w:t>
      </w:r>
      <w:r>
        <w:rPr>
          <w:rFonts w:ascii="Arial" w:hAnsi="Arial" w:cs="Arial"/>
          <w:lang w:val="pl-PL"/>
        </w:rPr>
        <w:t>W</w:t>
      </w:r>
      <w:r w:rsidRPr="00756D7F">
        <w:rPr>
          <w:rFonts w:ascii="Arial" w:hAnsi="Arial" w:cs="Arial"/>
          <w:lang w:val="pl-PL"/>
        </w:rPr>
        <w:t xml:space="preserve"> sektorze biurowym liczba nowych budynków oddawanych do użytku w stolicach państw Europy Środkowo-Wschodniej spadła do rekordowo niskiego poziomu, przekładając się na stopniową kompresję wskaźnika dostępnej powierzchni. W handlu inwestorzy koncentr</w:t>
      </w:r>
      <w:r>
        <w:rPr>
          <w:rFonts w:ascii="Arial" w:hAnsi="Arial" w:cs="Arial"/>
          <w:lang w:val="pl-PL"/>
        </w:rPr>
        <w:t>ują</w:t>
      </w:r>
      <w:r w:rsidRPr="00756D7F">
        <w:rPr>
          <w:rFonts w:ascii="Arial" w:hAnsi="Arial" w:cs="Arial"/>
          <w:lang w:val="pl-PL"/>
        </w:rPr>
        <w:t xml:space="preserve"> się przede wszystkim na dominujących i odpornych formatach, takich jak parki handlowe i najlepiej funkcjonujące centra, </w:t>
      </w:r>
      <w:r w:rsidR="006346D0">
        <w:rPr>
          <w:rFonts w:ascii="Arial" w:hAnsi="Arial" w:cs="Arial"/>
          <w:lang w:val="pl-PL"/>
        </w:rPr>
        <w:t xml:space="preserve">które </w:t>
      </w:r>
      <w:r w:rsidR="006346D0" w:rsidRPr="006346D0">
        <w:rPr>
          <w:rFonts w:ascii="Arial" w:hAnsi="Arial" w:cs="Arial"/>
          <w:lang w:val="pl-PL"/>
        </w:rPr>
        <w:t xml:space="preserve">należą dziś do najbardziej płynnych i przewidywalnych formatów na rynku </w:t>
      </w:r>
      <w:proofErr w:type="spellStart"/>
      <w:r w:rsidR="006346D0" w:rsidRPr="006346D0">
        <w:rPr>
          <w:rFonts w:ascii="Arial" w:hAnsi="Arial" w:cs="Arial"/>
          <w:lang w:val="pl-PL"/>
        </w:rPr>
        <w:t>retail</w:t>
      </w:r>
      <w:proofErr w:type="spellEnd"/>
      <w:r w:rsidRPr="00756D7F">
        <w:rPr>
          <w:rFonts w:ascii="Arial" w:hAnsi="Arial" w:cs="Arial"/>
          <w:lang w:val="pl-PL"/>
        </w:rPr>
        <w:t>.</w:t>
      </w:r>
      <w:r w:rsidR="00AB6C84" w:rsidRPr="00801608">
        <w:rPr>
          <w:rFonts w:ascii="Arial" w:hAnsi="Arial" w:cs="Arial"/>
          <w:lang w:val="pl-PL"/>
        </w:rPr>
        <w:t xml:space="preserve"> Z kolei w sektorze hotelowym odnotowano jeden z najwyższych wskaźników efektywności </w:t>
      </w:r>
      <w:r w:rsidR="00AB6C84" w:rsidRPr="00801608">
        <w:rPr>
          <w:rFonts w:ascii="Arial" w:hAnsi="Arial" w:cs="Arial"/>
          <w:lang w:val="pl-PL"/>
        </w:rPr>
        <w:lastRenderedPageBreak/>
        <w:t>operacyjnej w regionie – przychody na dostępny pokój (</w:t>
      </w:r>
      <w:proofErr w:type="spellStart"/>
      <w:r w:rsidR="00AB6C84" w:rsidRPr="00801608">
        <w:rPr>
          <w:rFonts w:ascii="Arial" w:hAnsi="Arial" w:cs="Arial"/>
          <w:lang w:val="pl-PL"/>
        </w:rPr>
        <w:t>RevPAR</w:t>
      </w:r>
      <w:proofErr w:type="spellEnd"/>
      <w:r w:rsidR="00AB6C84" w:rsidRPr="00801608">
        <w:rPr>
          <w:rFonts w:ascii="Arial" w:hAnsi="Arial" w:cs="Arial"/>
          <w:lang w:val="pl-PL"/>
        </w:rPr>
        <w:t>) wzrosły w ujęciu rocznym o 8,9%, a ograniczona podaż wzmacniała pozytywne nastroje w tym segmencie rynku.</w:t>
      </w:r>
    </w:p>
    <w:p w14:paraId="3F87E638" w14:textId="77777777" w:rsidR="00AB6C84" w:rsidRPr="00801608" w:rsidRDefault="00AB6C84" w:rsidP="00801608">
      <w:pPr>
        <w:jc w:val="both"/>
        <w:rPr>
          <w:rFonts w:ascii="Arial" w:hAnsi="Arial" w:cs="Arial"/>
          <w:lang w:val="pl-PL"/>
        </w:rPr>
      </w:pPr>
      <w:r w:rsidRPr="00801608">
        <w:rPr>
          <w:rFonts w:ascii="Arial" w:hAnsi="Arial" w:cs="Arial"/>
          <w:lang w:val="pl-PL"/>
        </w:rPr>
        <w:t xml:space="preserve">Liderami wzrostów były Czechy (4,2 mld EUR, +155% r/r) z kompresją stóp kapitalizacji dla niektórych biurowców typu </w:t>
      </w:r>
      <w:proofErr w:type="spellStart"/>
      <w:r w:rsidRPr="00801608">
        <w:rPr>
          <w:rFonts w:ascii="Arial" w:hAnsi="Arial" w:cs="Arial"/>
          <w:lang w:val="pl-PL"/>
        </w:rPr>
        <w:t>prime</w:t>
      </w:r>
      <w:proofErr w:type="spellEnd"/>
      <w:r w:rsidRPr="00801608">
        <w:rPr>
          <w:rFonts w:ascii="Arial" w:hAnsi="Arial" w:cs="Arial"/>
          <w:lang w:val="pl-PL"/>
        </w:rPr>
        <w:t>, Polska (4,5 mld EUR), gdzie odnotowano najwyższą aktywność inwestycyjną w sektorze magazynowym i ożywienie na warszawskim rynku biurowym, oraz Słowacja, dla której miniony rok należał do najlepszych w historii dzięki transakcjom portfelowym w segmencie nieruchomości magazynowych. Z kolei w Bułgarii, Rumunii, Serbii i na Węgrzech zaobserwowano poprawę płynności i stabilne ceny oraz wzrosty aktywności inwestycyjnej w wybranych sektorach.</w:t>
      </w:r>
    </w:p>
    <w:p w14:paraId="5B97D147" w14:textId="77777777" w:rsidR="00AB6C84" w:rsidRPr="00801608" w:rsidRDefault="00AB6C84" w:rsidP="00801608">
      <w:pPr>
        <w:jc w:val="both"/>
        <w:rPr>
          <w:rFonts w:ascii="Arial" w:hAnsi="Arial" w:cs="Arial"/>
          <w:lang w:val="pl-PL"/>
        </w:rPr>
      </w:pPr>
      <w:r w:rsidRPr="00801608">
        <w:rPr>
          <w:rFonts w:ascii="Arial" w:hAnsi="Arial" w:cs="Arial"/>
          <w:lang w:val="pl-PL"/>
        </w:rPr>
        <w:t>Według prognoz Cushman &amp; Wakefield stopy kapitalizacji dla najbardziej atrakcyjnych aktywów pozostaną zasadniczo na stabilnym poziomie w 2026 roku, choć mogą nieznacznie się obniżyć w przypadku nieruchomości biurowych i logistycznych spełniających standardy ESG – szczególnie tam, gdzie podaż jest ograniczona. Ryzyko związane m.in. z tempem normalizacji stóp procentowych i zmianą dynamiki popytu pozostaje umiarkowane.</w:t>
      </w:r>
    </w:p>
    <w:p w14:paraId="70EB7821" w14:textId="77777777" w:rsidR="001C4AF4" w:rsidRPr="00801608" w:rsidRDefault="001C4AF4" w:rsidP="00801608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123008C1" w14:textId="45DD823F" w:rsidR="000149B7" w:rsidRPr="00AC68CC" w:rsidRDefault="000149B7" w:rsidP="000149B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l-PL"/>
        </w:rPr>
      </w:pPr>
    </w:p>
    <w:p w14:paraId="0CF7F984" w14:textId="77777777" w:rsidR="0072155A" w:rsidRPr="00AC68CC" w:rsidRDefault="0072155A" w:rsidP="00D60FE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pl-PL"/>
        </w:rPr>
      </w:pPr>
    </w:p>
    <w:p w14:paraId="1E478EB1" w14:textId="05B3024F" w:rsidR="00DD1E0C" w:rsidRPr="008F550C" w:rsidRDefault="0035169F" w:rsidP="00F270D6">
      <w:pPr>
        <w:spacing w:line="240" w:lineRule="auto"/>
        <w:jc w:val="center"/>
        <w:rPr>
          <w:rFonts w:ascii="Arial" w:hAnsi="Arial" w:cs="Arial"/>
          <w:b/>
          <w:color w:val="000000" w:themeColor="text1" w:themeShade="BF"/>
          <w:sz w:val="20"/>
          <w:szCs w:val="20"/>
          <w:lang w:val="pl-PL"/>
        </w:rPr>
      </w:pPr>
      <w:r w:rsidRPr="008F550C">
        <w:rPr>
          <w:rFonts w:ascii="Arial" w:hAnsi="Arial" w:cs="Arial"/>
          <w:b/>
          <w:color w:val="000000" w:themeColor="text1" w:themeShade="BF"/>
          <w:sz w:val="20"/>
          <w:szCs w:val="20"/>
          <w:lang w:val="pl-PL"/>
        </w:rPr>
        <w:t>-</w:t>
      </w:r>
      <w:r w:rsidR="008F7059" w:rsidRPr="008F550C">
        <w:rPr>
          <w:rFonts w:ascii="Arial" w:hAnsi="Arial" w:cs="Arial"/>
          <w:b/>
          <w:color w:val="000000" w:themeColor="text1" w:themeShade="BF"/>
          <w:sz w:val="20"/>
          <w:szCs w:val="20"/>
          <w:lang w:val="pl-PL"/>
        </w:rPr>
        <w:t>KONIEC</w:t>
      </w:r>
      <w:r w:rsidRPr="008F550C">
        <w:rPr>
          <w:rFonts w:ascii="Arial" w:hAnsi="Arial" w:cs="Arial"/>
          <w:b/>
          <w:color w:val="000000" w:themeColor="text1" w:themeShade="BF"/>
          <w:sz w:val="20"/>
          <w:szCs w:val="20"/>
          <w:lang w:val="pl-PL"/>
        </w:rPr>
        <w:t>-</w:t>
      </w:r>
    </w:p>
    <w:p w14:paraId="4BC21898" w14:textId="133FB2D8" w:rsidR="00267AD2" w:rsidRPr="008F550C" w:rsidRDefault="00267AD2" w:rsidP="00D60FED">
      <w:pPr>
        <w:spacing w:after="0" w:line="240" w:lineRule="auto"/>
        <w:jc w:val="both"/>
        <w:rPr>
          <w:rFonts w:ascii="Arial" w:hAnsi="Arial" w:cs="Arial"/>
          <w:bCs/>
          <w:color w:val="000000" w:themeColor="text1" w:themeShade="BF"/>
          <w:sz w:val="20"/>
          <w:szCs w:val="20"/>
          <w:lang w:val="pl-PL"/>
        </w:rPr>
      </w:pPr>
    </w:p>
    <w:p w14:paraId="7E6209AD" w14:textId="77777777" w:rsidR="00E61826" w:rsidRPr="008F550C" w:rsidRDefault="00E61826" w:rsidP="00D60FE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  <w:lang w:val="pl-PL"/>
        </w:rPr>
      </w:pPr>
    </w:p>
    <w:p w14:paraId="5716EE10" w14:textId="38A856B3" w:rsidR="00B4789E" w:rsidRPr="008F550C" w:rsidRDefault="008F7059" w:rsidP="00D60FE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  <w:lang w:val="pl-PL"/>
        </w:rPr>
      </w:pPr>
      <w:r w:rsidRPr="008F550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  <w:lang w:val="pl-PL"/>
        </w:rPr>
        <w:t>O</w:t>
      </w:r>
      <w:r w:rsidR="00B4789E" w:rsidRPr="008F550C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  <w:lang w:val="pl-PL"/>
        </w:rPr>
        <w:t xml:space="preserve"> Cushman &amp; Wakefield  </w:t>
      </w:r>
    </w:p>
    <w:p w14:paraId="7318E1E3" w14:textId="77777777" w:rsidR="009207AD" w:rsidRPr="008F550C" w:rsidRDefault="009207AD" w:rsidP="00D60FE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highlight w:val="yellow"/>
          <w:lang w:val="pl-PL"/>
        </w:rPr>
      </w:pPr>
    </w:p>
    <w:p w14:paraId="2B63D07E" w14:textId="5AC4C646" w:rsidR="00374DB0" w:rsidRPr="008F550C" w:rsidRDefault="00367FE7" w:rsidP="00367FE7">
      <w:pPr>
        <w:pStyle w:val="NormalnyWeb"/>
        <w:shd w:val="clear" w:color="auto" w:fill="FFFFFF"/>
        <w:spacing w:before="0" w:beforeAutospacing="0" w:after="0" w:afterAutospacing="0"/>
        <w:jc w:val="both"/>
        <w:rPr>
          <w:lang w:val="pl-PL"/>
        </w:rPr>
      </w:pPr>
      <w:r w:rsidRPr="00367FE7">
        <w:rPr>
          <w:rFonts w:ascii="Arial" w:hAnsi="Arial" w:cs="Arial"/>
          <w:sz w:val="18"/>
          <w:szCs w:val="18"/>
          <w:lang w:val="pl-PL"/>
        </w:rPr>
        <w:t>Cushman &amp; Wakefield (NYSE: CWK) jest wiodącą na świecie firmą świadczącą usługi na rynku nieruchomości komercyjnych na rzecz najemców i inwestorów. Zatrudnia ok. 53 tys. pracowników w ponad 350 biurach i niemal 60 krajach na całym świecie. W 2025 roku jej przychody wyniosły 10,3 mld USD. Do najważniejszych usług świadczonych przez firmę należą m.in. zarządzanie nieruchomościami, obiektami i projektami, pośrednictwo w wynajmie powierzchni, obsługa transakcji na rynkach kapitałowych oraz wyceny. Za nieustanne dążenie do doskonałości zgodnie z zasadą</w:t>
      </w:r>
      <w:r w:rsidRPr="00367FE7">
        <w:rPr>
          <w:rFonts w:ascii="Arial" w:hAnsi="Arial" w:cs="Arial"/>
          <w:i/>
          <w:iCs/>
          <w:sz w:val="18"/>
          <w:szCs w:val="18"/>
          <w:lang w:val="pl-PL"/>
        </w:rPr>
        <w:t> </w:t>
      </w:r>
      <w:proofErr w:type="spellStart"/>
      <w:r w:rsidRPr="00367FE7">
        <w:rPr>
          <w:rFonts w:ascii="Arial" w:hAnsi="Arial" w:cs="Arial"/>
          <w:i/>
          <w:iCs/>
          <w:sz w:val="18"/>
          <w:szCs w:val="18"/>
          <w:lang w:val="pl-PL"/>
        </w:rPr>
        <w:t>Better</w:t>
      </w:r>
      <w:proofErr w:type="spellEnd"/>
      <w:r w:rsidRPr="00367FE7">
        <w:rPr>
          <w:rFonts w:ascii="Arial" w:hAnsi="Arial" w:cs="Arial"/>
          <w:i/>
          <w:iCs/>
          <w:sz w:val="18"/>
          <w:szCs w:val="18"/>
          <w:lang w:val="pl-PL"/>
        </w:rPr>
        <w:t xml:space="preserve"> </w:t>
      </w:r>
      <w:proofErr w:type="spellStart"/>
      <w:r w:rsidRPr="00367FE7">
        <w:rPr>
          <w:rFonts w:ascii="Arial" w:hAnsi="Arial" w:cs="Arial"/>
          <w:i/>
          <w:iCs/>
          <w:sz w:val="18"/>
          <w:szCs w:val="18"/>
          <w:lang w:val="pl-PL"/>
        </w:rPr>
        <w:t>never</w:t>
      </w:r>
      <w:proofErr w:type="spellEnd"/>
      <w:r w:rsidRPr="00367FE7">
        <w:rPr>
          <w:rFonts w:ascii="Arial" w:hAnsi="Arial" w:cs="Arial"/>
          <w:i/>
          <w:iCs/>
          <w:sz w:val="18"/>
          <w:szCs w:val="18"/>
          <w:lang w:val="pl-PL"/>
        </w:rPr>
        <w:t xml:space="preserve"> </w:t>
      </w:r>
      <w:proofErr w:type="spellStart"/>
      <w:r w:rsidRPr="00367FE7">
        <w:rPr>
          <w:rFonts w:ascii="Arial" w:hAnsi="Arial" w:cs="Arial"/>
          <w:i/>
          <w:iCs/>
          <w:sz w:val="18"/>
          <w:szCs w:val="18"/>
          <w:lang w:val="pl-PL"/>
        </w:rPr>
        <w:t>settles</w:t>
      </w:r>
      <w:proofErr w:type="spellEnd"/>
      <w:r w:rsidRPr="00367FE7">
        <w:rPr>
          <w:rFonts w:ascii="Arial" w:hAnsi="Arial" w:cs="Arial"/>
          <w:sz w:val="18"/>
          <w:szCs w:val="18"/>
          <w:lang w:val="pl-PL"/>
        </w:rPr>
        <w:t xml:space="preserve"> Cushman &amp; Wakefield otrzymuje wiele wyróżnień oraz nagród w konkursach branżowych i biznesowych. </w:t>
      </w:r>
      <w:proofErr w:type="spellStart"/>
      <w:r w:rsidRPr="00367FE7">
        <w:rPr>
          <w:rFonts w:ascii="Arial" w:hAnsi="Arial" w:cs="Arial"/>
          <w:sz w:val="18"/>
          <w:szCs w:val="18"/>
          <w:lang w:val="en-GB"/>
        </w:rPr>
        <w:t>Dodatkowe</w:t>
      </w:r>
      <w:proofErr w:type="spellEnd"/>
      <w:r w:rsidRPr="00367FE7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367FE7">
        <w:rPr>
          <w:rFonts w:ascii="Arial" w:hAnsi="Arial" w:cs="Arial"/>
          <w:sz w:val="18"/>
          <w:szCs w:val="18"/>
          <w:lang w:val="en-GB"/>
        </w:rPr>
        <w:t>informacje</w:t>
      </w:r>
      <w:proofErr w:type="spellEnd"/>
      <w:r w:rsidRPr="00367FE7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367FE7">
        <w:rPr>
          <w:rFonts w:ascii="Arial" w:hAnsi="Arial" w:cs="Arial"/>
          <w:sz w:val="18"/>
          <w:szCs w:val="18"/>
          <w:lang w:val="en-GB"/>
        </w:rPr>
        <w:t>na</w:t>
      </w:r>
      <w:proofErr w:type="spellEnd"/>
      <w:r w:rsidRPr="00367FE7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367FE7">
        <w:rPr>
          <w:rFonts w:ascii="Arial" w:hAnsi="Arial" w:cs="Arial"/>
          <w:sz w:val="18"/>
          <w:szCs w:val="18"/>
          <w:lang w:val="en-GB"/>
        </w:rPr>
        <w:t>stronie</w:t>
      </w:r>
      <w:proofErr w:type="spellEnd"/>
      <w:r w:rsidRPr="00367FE7">
        <w:rPr>
          <w:rFonts w:ascii="Arial" w:hAnsi="Arial" w:cs="Arial"/>
          <w:sz w:val="18"/>
          <w:szCs w:val="18"/>
          <w:lang w:val="en-GB"/>
        </w:rPr>
        <w:t> </w:t>
      </w:r>
      <w:hyperlink r:id="rId11" w:tgtFrame="_blank" w:history="1">
        <w:r w:rsidRPr="00367FE7">
          <w:rPr>
            <w:rStyle w:val="Hipercze"/>
            <w:rFonts w:ascii="Arial" w:hAnsi="Arial" w:cs="Arial"/>
            <w:sz w:val="18"/>
            <w:szCs w:val="18"/>
            <w:lang w:val="en-GB"/>
          </w:rPr>
          <w:t>www.cushmanwakefield.com</w:t>
        </w:r>
      </w:hyperlink>
      <w:r w:rsidRPr="00367FE7">
        <w:rPr>
          <w:rFonts w:ascii="Arial" w:hAnsi="Arial" w:cs="Arial"/>
          <w:sz w:val="18"/>
          <w:szCs w:val="18"/>
          <w:lang w:val="en-GB"/>
        </w:rPr>
        <w:t>.</w:t>
      </w:r>
    </w:p>
    <w:sectPr w:rsidR="00374DB0" w:rsidRPr="008F550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805D1" w14:textId="77777777" w:rsidR="003C15C2" w:rsidRDefault="003C15C2" w:rsidP="00B4789E">
      <w:pPr>
        <w:spacing w:after="0" w:line="240" w:lineRule="auto"/>
      </w:pPr>
      <w:r>
        <w:separator/>
      </w:r>
    </w:p>
  </w:endnote>
  <w:endnote w:type="continuationSeparator" w:id="0">
    <w:p w14:paraId="1BB70FD1" w14:textId="77777777" w:rsidR="003C15C2" w:rsidRDefault="003C15C2" w:rsidP="00B47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ABDD" w14:textId="77777777" w:rsidR="00AC68CC" w:rsidRDefault="00AC68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5A4108" w:rsidRPr="00D90F1F" w14:paraId="4D959A4E" w14:textId="77777777" w:rsidTr="005A4108">
      <w:trPr>
        <w:trHeight w:val="630"/>
      </w:trPr>
      <w:tc>
        <w:tcPr>
          <w:tcW w:w="9072" w:type="dxa"/>
          <w:vAlign w:val="bottom"/>
        </w:tcPr>
        <w:p w14:paraId="5AA04813" w14:textId="77777777" w:rsidR="005A4108" w:rsidRPr="00D90F1F" w:rsidRDefault="005A4108" w:rsidP="005A4108">
          <w:pPr>
            <w:pStyle w:val="Nagwek2"/>
            <w:spacing w:after="0"/>
            <w:rPr>
              <w:rFonts w:ascii="Arial" w:hAnsi="Arial" w:cs="Arial"/>
              <w:color w:val="000000" w:themeColor="text1"/>
              <w:szCs w:val="18"/>
            </w:rPr>
          </w:pPr>
          <w:r w:rsidRPr="00D90F1F">
            <w:rPr>
              <w:rFonts w:ascii="Arial" w:hAnsi="Arial" w:cs="Arial"/>
              <w:color w:val="000000" w:themeColor="text1"/>
              <w:szCs w:val="18"/>
            </w:rPr>
            <w:t>Dodatkowe informacje:</w:t>
          </w:r>
        </w:p>
        <w:tbl>
          <w:tblPr>
            <w:tblStyle w:val="Tabela-Siatk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390"/>
            <w:gridCol w:w="283"/>
            <w:gridCol w:w="4389"/>
          </w:tblGrid>
          <w:tr w:rsidR="00D90F1F" w:rsidRPr="00D90F1F" w14:paraId="6A6C1766" w14:textId="77777777" w:rsidTr="00D90F1F">
            <w:tc>
              <w:tcPr>
                <w:tcW w:w="4390" w:type="dxa"/>
              </w:tcPr>
              <w:p w14:paraId="3F32F890" w14:textId="77777777" w:rsidR="00D90F1F" w:rsidRPr="00E62AA2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</w:pPr>
                <w:r w:rsidRPr="00E62AA2"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  <w:t xml:space="preserve">Karolina </w:t>
                </w:r>
                <w:proofErr w:type="spellStart"/>
                <w:r w:rsidRPr="00E62AA2"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  <w:t>Samczyńska</w:t>
                </w:r>
                <w:proofErr w:type="spellEnd"/>
              </w:p>
              <w:p w14:paraId="0CB5CBE3" w14:textId="77777777" w:rsidR="00D90F1F" w:rsidRPr="00E62AA2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</w:pPr>
                <w:r w:rsidRPr="00E62AA2"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  <w:t>Cushman &amp; Wakefield</w:t>
                </w:r>
              </w:p>
              <w:p w14:paraId="18CD5389" w14:textId="5E2DC5E0" w:rsidR="00D90F1F" w:rsidRPr="00E62AA2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</w:pPr>
                <w:r w:rsidRPr="00E62AA2"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  <w:t>Karolina.samczynska@cushwake.com</w:t>
                </w:r>
              </w:p>
            </w:tc>
            <w:tc>
              <w:tcPr>
                <w:tcW w:w="283" w:type="dxa"/>
              </w:tcPr>
              <w:p w14:paraId="180A64F2" w14:textId="77777777" w:rsidR="00D90F1F" w:rsidRPr="00E62AA2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</w:pPr>
              </w:p>
            </w:tc>
            <w:tc>
              <w:tcPr>
                <w:tcW w:w="4389" w:type="dxa"/>
              </w:tcPr>
              <w:p w14:paraId="1CB4134C" w14:textId="77777777" w:rsidR="00D90F1F" w:rsidRPr="00E62AA2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</w:pPr>
                <w:r w:rsidRPr="00E62AA2"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  <w:t>Magdalena Znyk-Ossowska</w:t>
                </w:r>
              </w:p>
              <w:p w14:paraId="03EB2711" w14:textId="77777777" w:rsidR="00D90F1F" w:rsidRPr="00E62AA2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</w:pPr>
                <w:r w:rsidRPr="00E62AA2"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  <w:t>Linkleaders</w:t>
                </w:r>
              </w:p>
              <w:p w14:paraId="20B6FF72" w14:textId="12F1D66A" w:rsidR="00D90F1F" w:rsidRPr="00E62AA2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val="pl-PL" w:eastAsia="en-GB"/>
                  </w:rPr>
                </w:pPr>
                <w:hyperlink r:id="rId1" w:history="1">
                  <w:r w:rsidRPr="00E62AA2">
                    <w:rPr>
                      <w:rStyle w:val="Hipercze"/>
                      <w:rFonts w:ascii="Arial" w:hAnsi="Arial" w:cs="Arial"/>
                      <w:sz w:val="18"/>
                      <w:szCs w:val="18"/>
                      <w:lang w:val="pl-PL" w:eastAsia="en-GB"/>
                    </w:rPr>
                    <w:t>Magdalena.ossowska@linkleaders.pl</w:t>
                  </w:r>
                </w:hyperlink>
              </w:p>
              <w:p w14:paraId="61CF57E7" w14:textId="2AD6C4D9" w:rsidR="00D90F1F" w:rsidRPr="00D90F1F" w:rsidRDefault="00D90F1F" w:rsidP="005A4108">
                <w:pPr>
                  <w:rPr>
                    <w:rFonts w:ascii="Arial" w:hAnsi="Arial" w:cs="Arial"/>
                    <w:sz w:val="18"/>
                    <w:szCs w:val="18"/>
                    <w:lang w:eastAsia="en-GB"/>
                  </w:rPr>
                </w:pPr>
                <w:r w:rsidRPr="00D90F1F">
                  <w:rPr>
                    <w:rFonts w:ascii="Arial" w:hAnsi="Arial" w:cs="Arial"/>
                    <w:sz w:val="18"/>
                    <w:szCs w:val="18"/>
                    <w:lang w:eastAsia="en-GB"/>
                  </w:rPr>
                  <w:t>+48 502 556 846</w:t>
                </w:r>
              </w:p>
            </w:tc>
          </w:tr>
        </w:tbl>
        <w:p w14:paraId="7B6ADC62" w14:textId="347A28EF" w:rsidR="005A4108" w:rsidRPr="00D90F1F" w:rsidRDefault="005A4108" w:rsidP="005A4108">
          <w:pPr>
            <w:rPr>
              <w:rFonts w:ascii="Arial" w:hAnsi="Arial" w:cs="Arial"/>
              <w:sz w:val="18"/>
              <w:szCs w:val="18"/>
              <w:lang w:eastAsia="en-GB"/>
            </w:rPr>
          </w:pPr>
        </w:p>
      </w:tc>
    </w:tr>
  </w:tbl>
  <w:p w14:paraId="7E1394D2" w14:textId="77777777" w:rsidR="00423291" w:rsidRDefault="004232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EB34" w14:textId="77777777" w:rsidR="00AC68CC" w:rsidRDefault="00AC68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16518" w14:textId="77777777" w:rsidR="003C15C2" w:rsidRDefault="003C15C2" w:rsidP="00B4789E">
      <w:pPr>
        <w:spacing w:after="0" w:line="240" w:lineRule="auto"/>
      </w:pPr>
      <w:r>
        <w:separator/>
      </w:r>
    </w:p>
  </w:footnote>
  <w:footnote w:type="continuationSeparator" w:id="0">
    <w:p w14:paraId="3DD9CC25" w14:textId="77777777" w:rsidR="003C15C2" w:rsidRDefault="003C15C2" w:rsidP="00B47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C9E8" w14:textId="77777777" w:rsidR="00AC68CC" w:rsidRDefault="00AC68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30E69" w14:textId="1F0B0BF5" w:rsidR="00B4789E" w:rsidRDefault="00B4789E">
    <w:pPr>
      <w:pStyle w:val="Nagwek"/>
    </w:pPr>
    <w:r>
      <w:rPr>
        <w:noProof/>
        <w:lang w:eastAsia="en-GB"/>
      </w:rPr>
      <w:drawing>
        <wp:inline distT="0" distB="0" distL="0" distR="0" wp14:anchorId="05D67C11" wp14:editId="10624549">
          <wp:extent cx="2303780" cy="484505"/>
          <wp:effectExtent l="0" t="0" r="1270" b="0"/>
          <wp:docPr id="1" name="Picture 1" descr="E:\CW REBRAND\Assets\CW Logo Suite\Cushman &amp; Wakefield\CW_Logo_PMS.em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E:\CW REBRAND\Assets\CW Logo Suite\Cushman &amp; Wakefield\CW_Logo_PMS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78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F015D" w14:textId="77777777" w:rsidR="003E3B94" w:rsidRDefault="003E3B94">
    <w:pPr>
      <w:pStyle w:val="Nagwek"/>
    </w:pPr>
  </w:p>
  <w:p w14:paraId="2ED2DE24" w14:textId="77777777" w:rsidR="003E3B94" w:rsidRDefault="003E3B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A674" w14:textId="77777777" w:rsidR="00AC68CC" w:rsidRDefault="00AC68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A37C1"/>
    <w:multiLevelType w:val="hybridMultilevel"/>
    <w:tmpl w:val="F7ECD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24C13"/>
    <w:multiLevelType w:val="hybridMultilevel"/>
    <w:tmpl w:val="6720D0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DF7D35"/>
    <w:multiLevelType w:val="multilevel"/>
    <w:tmpl w:val="72F4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9E5759"/>
    <w:multiLevelType w:val="hybridMultilevel"/>
    <w:tmpl w:val="B9DCB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B3687"/>
    <w:multiLevelType w:val="hybridMultilevel"/>
    <w:tmpl w:val="52EA2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C2529"/>
    <w:multiLevelType w:val="hybridMultilevel"/>
    <w:tmpl w:val="C3B81DFC"/>
    <w:lvl w:ilvl="0" w:tplc="6EAE8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828915">
    <w:abstractNumId w:val="5"/>
  </w:num>
  <w:num w:numId="2" w16cid:durableId="828979821">
    <w:abstractNumId w:val="3"/>
  </w:num>
  <w:num w:numId="3" w16cid:durableId="341512513">
    <w:abstractNumId w:val="3"/>
  </w:num>
  <w:num w:numId="4" w16cid:durableId="2109498111">
    <w:abstractNumId w:val="0"/>
  </w:num>
  <w:num w:numId="5" w16cid:durableId="1684627706">
    <w:abstractNumId w:val="1"/>
  </w:num>
  <w:num w:numId="6" w16cid:durableId="1095906722">
    <w:abstractNumId w:val="4"/>
  </w:num>
  <w:num w:numId="7" w16cid:durableId="1550071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B0"/>
    <w:rsid w:val="00000E9F"/>
    <w:rsid w:val="000067D7"/>
    <w:rsid w:val="00006833"/>
    <w:rsid w:val="00006DAA"/>
    <w:rsid w:val="000108E6"/>
    <w:rsid w:val="000112BB"/>
    <w:rsid w:val="00011B30"/>
    <w:rsid w:val="000132C1"/>
    <w:rsid w:val="000133D7"/>
    <w:rsid w:val="000149B7"/>
    <w:rsid w:val="00016906"/>
    <w:rsid w:val="0002024E"/>
    <w:rsid w:val="00023BAB"/>
    <w:rsid w:val="00027407"/>
    <w:rsid w:val="000306E9"/>
    <w:rsid w:val="0003213E"/>
    <w:rsid w:val="000325A9"/>
    <w:rsid w:val="0003575D"/>
    <w:rsid w:val="000404E1"/>
    <w:rsid w:val="000405CD"/>
    <w:rsid w:val="00040853"/>
    <w:rsid w:val="00054C66"/>
    <w:rsid w:val="00070062"/>
    <w:rsid w:val="00071142"/>
    <w:rsid w:val="00077CD8"/>
    <w:rsid w:val="00085206"/>
    <w:rsid w:val="00093715"/>
    <w:rsid w:val="00094B65"/>
    <w:rsid w:val="00096511"/>
    <w:rsid w:val="000A173D"/>
    <w:rsid w:val="000B0652"/>
    <w:rsid w:val="000B2DCA"/>
    <w:rsid w:val="000B437C"/>
    <w:rsid w:val="000B49B9"/>
    <w:rsid w:val="000B6A55"/>
    <w:rsid w:val="000C4963"/>
    <w:rsid w:val="000D39A7"/>
    <w:rsid w:val="000D4F32"/>
    <w:rsid w:val="000D5C1C"/>
    <w:rsid w:val="000D6E96"/>
    <w:rsid w:val="000D7599"/>
    <w:rsid w:val="000E2D90"/>
    <w:rsid w:val="000E3621"/>
    <w:rsid w:val="000E7313"/>
    <w:rsid w:val="000E76DC"/>
    <w:rsid w:val="000F0C81"/>
    <w:rsid w:val="000F2C92"/>
    <w:rsid w:val="000F5826"/>
    <w:rsid w:val="000F5D59"/>
    <w:rsid w:val="000F661E"/>
    <w:rsid w:val="000F6980"/>
    <w:rsid w:val="000F6D1C"/>
    <w:rsid w:val="000F7AC5"/>
    <w:rsid w:val="000F7F0D"/>
    <w:rsid w:val="001002DD"/>
    <w:rsid w:val="001042E2"/>
    <w:rsid w:val="00114D59"/>
    <w:rsid w:val="0011789D"/>
    <w:rsid w:val="00122F7F"/>
    <w:rsid w:val="00124F11"/>
    <w:rsid w:val="001269A2"/>
    <w:rsid w:val="00126DBD"/>
    <w:rsid w:val="00130E33"/>
    <w:rsid w:val="00136558"/>
    <w:rsid w:val="00136AAF"/>
    <w:rsid w:val="001423BC"/>
    <w:rsid w:val="00145D6A"/>
    <w:rsid w:val="00153C6B"/>
    <w:rsid w:val="001550B3"/>
    <w:rsid w:val="001608DD"/>
    <w:rsid w:val="001625A5"/>
    <w:rsid w:val="00165957"/>
    <w:rsid w:val="001731B1"/>
    <w:rsid w:val="00173741"/>
    <w:rsid w:val="00180B34"/>
    <w:rsid w:val="001845B0"/>
    <w:rsid w:val="001A14BE"/>
    <w:rsid w:val="001B14F7"/>
    <w:rsid w:val="001B1A57"/>
    <w:rsid w:val="001B7E7F"/>
    <w:rsid w:val="001C4652"/>
    <w:rsid w:val="001C4AF4"/>
    <w:rsid w:val="001D055C"/>
    <w:rsid w:val="001D2AFF"/>
    <w:rsid w:val="001D4385"/>
    <w:rsid w:val="001D4B86"/>
    <w:rsid w:val="001D5D43"/>
    <w:rsid w:val="001D7E4A"/>
    <w:rsid w:val="001E4332"/>
    <w:rsid w:val="001E4AC4"/>
    <w:rsid w:val="001E4C15"/>
    <w:rsid w:val="001F0591"/>
    <w:rsid w:val="001F3D2C"/>
    <w:rsid w:val="001F4DE5"/>
    <w:rsid w:val="001F70C5"/>
    <w:rsid w:val="001F7D1A"/>
    <w:rsid w:val="00200EC1"/>
    <w:rsid w:val="0020248A"/>
    <w:rsid w:val="00204FC5"/>
    <w:rsid w:val="002050DA"/>
    <w:rsid w:val="00205E80"/>
    <w:rsid w:val="00210FDB"/>
    <w:rsid w:val="00212060"/>
    <w:rsid w:val="00213339"/>
    <w:rsid w:val="002158ED"/>
    <w:rsid w:val="00216986"/>
    <w:rsid w:val="002254D9"/>
    <w:rsid w:val="002352BD"/>
    <w:rsid w:val="00241AE9"/>
    <w:rsid w:val="00241C09"/>
    <w:rsid w:val="0024422A"/>
    <w:rsid w:val="00246BE5"/>
    <w:rsid w:val="00255A14"/>
    <w:rsid w:val="00257250"/>
    <w:rsid w:val="00262854"/>
    <w:rsid w:val="002634B2"/>
    <w:rsid w:val="00265676"/>
    <w:rsid w:val="00267AD2"/>
    <w:rsid w:val="00270237"/>
    <w:rsid w:val="002717E1"/>
    <w:rsid w:val="002727FD"/>
    <w:rsid w:val="002742DC"/>
    <w:rsid w:val="00276A3C"/>
    <w:rsid w:val="00280665"/>
    <w:rsid w:val="00281D3B"/>
    <w:rsid w:val="00285D78"/>
    <w:rsid w:val="0028721A"/>
    <w:rsid w:val="002876CB"/>
    <w:rsid w:val="00290FA7"/>
    <w:rsid w:val="00292575"/>
    <w:rsid w:val="00292E43"/>
    <w:rsid w:val="002A45BD"/>
    <w:rsid w:val="002A5FF2"/>
    <w:rsid w:val="002A670E"/>
    <w:rsid w:val="002B3C16"/>
    <w:rsid w:val="002B4818"/>
    <w:rsid w:val="002C0015"/>
    <w:rsid w:val="002C3421"/>
    <w:rsid w:val="002D4B8D"/>
    <w:rsid w:val="002D53E2"/>
    <w:rsid w:val="002E23AC"/>
    <w:rsid w:val="002E6D14"/>
    <w:rsid w:val="002E7BB8"/>
    <w:rsid w:val="002F1273"/>
    <w:rsid w:val="002F48DE"/>
    <w:rsid w:val="002F6042"/>
    <w:rsid w:val="00300089"/>
    <w:rsid w:val="00300A21"/>
    <w:rsid w:val="003014BA"/>
    <w:rsid w:val="003023A9"/>
    <w:rsid w:val="003024DB"/>
    <w:rsid w:val="00303DE2"/>
    <w:rsid w:val="00303F8E"/>
    <w:rsid w:val="00310A1E"/>
    <w:rsid w:val="00312A8D"/>
    <w:rsid w:val="00313D4E"/>
    <w:rsid w:val="003141E8"/>
    <w:rsid w:val="00321D37"/>
    <w:rsid w:val="00330E14"/>
    <w:rsid w:val="00332821"/>
    <w:rsid w:val="00332ECC"/>
    <w:rsid w:val="00334009"/>
    <w:rsid w:val="003367FA"/>
    <w:rsid w:val="00337761"/>
    <w:rsid w:val="0033791A"/>
    <w:rsid w:val="003446B4"/>
    <w:rsid w:val="0035169F"/>
    <w:rsid w:val="00354D36"/>
    <w:rsid w:val="00362944"/>
    <w:rsid w:val="00366956"/>
    <w:rsid w:val="0036720A"/>
    <w:rsid w:val="00367FE7"/>
    <w:rsid w:val="00374C28"/>
    <w:rsid w:val="00374DB0"/>
    <w:rsid w:val="00377AB0"/>
    <w:rsid w:val="00384E14"/>
    <w:rsid w:val="003856C7"/>
    <w:rsid w:val="00390809"/>
    <w:rsid w:val="00390AFE"/>
    <w:rsid w:val="003929C3"/>
    <w:rsid w:val="00393302"/>
    <w:rsid w:val="00393F8B"/>
    <w:rsid w:val="0039713F"/>
    <w:rsid w:val="003A085C"/>
    <w:rsid w:val="003A17A9"/>
    <w:rsid w:val="003A2C36"/>
    <w:rsid w:val="003B00AA"/>
    <w:rsid w:val="003B4D9C"/>
    <w:rsid w:val="003C14F6"/>
    <w:rsid w:val="003C15C2"/>
    <w:rsid w:val="003C2770"/>
    <w:rsid w:val="003C3C47"/>
    <w:rsid w:val="003C4087"/>
    <w:rsid w:val="003C54EB"/>
    <w:rsid w:val="003C5B82"/>
    <w:rsid w:val="003C6725"/>
    <w:rsid w:val="003D1EF7"/>
    <w:rsid w:val="003D4913"/>
    <w:rsid w:val="003D5075"/>
    <w:rsid w:val="003E0ED3"/>
    <w:rsid w:val="003E256A"/>
    <w:rsid w:val="003E2C2E"/>
    <w:rsid w:val="003E37D1"/>
    <w:rsid w:val="003E3B94"/>
    <w:rsid w:val="003E5BC2"/>
    <w:rsid w:val="003F6CD3"/>
    <w:rsid w:val="0040762B"/>
    <w:rsid w:val="00414985"/>
    <w:rsid w:val="00415B7E"/>
    <w:rsid w:val="00415EB3"/>
    <w:rsid w:val="00423291"/>
    <w:rsid w:val="00425507"/>
    <w:rsid w:val="004256CF"/>
    <w:rsid w:val="00441762"/>
    <w:rsid w:val="0044205C"/>
    <w:rsid w:val="0044524E"/>
    <w:rsid w:val="004506C7"/>
    <w:rsid w:val="00451BD3"/>
    <w:rsid w:val="00462439"/>
    <w:rsid w:val="00462BBA"/>
    <w:rsid w:val="004729B9"/>
    <w:rsid w:val="0047309C"/>
    <w:rsid w:val="00473ED2"/>
    <w:rsid w:val="00474A69"/>
    <w:rsid w:val="00485C6A"/>
    <w:rsid w:val="00487CAD"/>
    <w:rsid w:val="00494446"/>
    <w:rsid w:val="004A02E6"/>
    <w:rsid w:val="004A1613"/>
    <w:rsid w:val="004A49B5"/>
    <w:rsid w:val="004B048F"/>
    <w:rsid w:val="004B2173"/>
    <w:rsid w:val="004B4D12"/>
    <w:rsid w:val="004C4AE2"/>
    <w:rsid w:val="004C5545"/>
    <w:rsid w:val="004D03D8"/>
    <w:rsid w:val="004D16FF"/>
    <w:rsid w:val="004D2E9B"/>
    <w:rsid w:val="004E0D3A"/>
    <w:rsid w:val="004E3A72"/>
    <w:rsid w:val="004E488F"/>
    <w:rsid w:val="004F1406"/>
    <w:rsid w:val="004F5215"/>
    <w:rsid w:val="004F53F4"/>
    <w:rsid w:val="004F7CA3"/>
    <w:rsid w:val="00502DAF"/>
    <w:rsid w:val="00522466"/>
    <w:rsid w:val="00523A74"/>
    <w:rsid w:val="00524B12"/>
    <w:rsid w:val="005255E7"/>
    <w:rsid w:val="0052651A"/>
    <w:rsid w:val="00545F5B"/>
    <w:rsid w:val="00546218"/>
    <w:rsid w:val="00554323"/>
    <w:rsid w:val="00557552"/>
    <w:rsid w:val="005575EF"/>
    <w:rsid w:val="00562AF3"/>
    <w:rsid w:val="0056340D"/>
    <w:rsid w:val="005676B0"/>
    <w:rsid w:val="00573390"/>
    <w:rsid w:val="0057425D"/>
    <w:rsid w:val="00576801"/>
    <w:rsid w:val="00577CC7"/>
    <w:rsid w:val="00581165"/>
    <w:rsid w:val="00582060"/>
    <w:rsid w:val="005A0E20"/>
    <w:rsid w:val="005A136E"/>
    <w:rsid w:val="005A4108"/>
    <w:rsid w:val="005A45D7"/>
    <w:rsid w:val="005C1B9C"/>
    <w:rsid w:val="005C3DBB"/>
    <w:rsid w:val="005C66ED"/>
    <w:rsid w:val="005D412D"/>
    <w:rsid w:val="005E0DAB"/>
    <w:rsid w:val="005E1525"/>
    <w:rsid w:val="005E6D8A"/>
    <w:rsid w:val="005F0528"/>
    <w:rsid w:val="005F14CE"/>
    <w:rsid w:val="005F25B3"/>
    <w:rsid w:val="005F32FC"/>
    <w:rsid w:val="0060200D"/>
    <w:rsid w:val="00602CAD"/>
    <w:rsid w:val="0060382F"/>
    <w:rsid w:val="0060604A"/>
    <w:rsid w:val="006110F4"/>
    <w:rsid w:val="00611431"/>
    <w:rsid w:val="006178AB"/>
    <w:rsid w:val="00624E99"/>
    <w:rsid w:val="0063430D"/>
    <w:rsid w:val="006346D0"/>
    <w:rsid w:val="0063470E"/>
    <w:rsid w:val="00643193"/>
    <w:rsid w:val="00650DEE"/>
    <w:rsid w:val="00651278"/>
    <w:rsid w:val="00653D5E"/>
    <w:rsid w:val="006546FF"/>
    <w:rsid w:val="00663BEA"/>
    <w:rsid w:val="00676D56"/>
    <w:rsid w:val="00680DE3"/>
    <w:rsid w:val="00682F5C"/>
    <w:rsid w:val="006868A8"/>
    <w:rsid w:val="0068799A"/>
    <w:rsid w:val="00690332"/>
    <w:rsid w:val="00692A56"/>
    <w:rsid w:val="00692BCA"/>
    <w:rsid w:val="006962E8"/>
    <w:rsid w:val="00697405"/>
    <w:rsid w:val="006A4AE7"/>
    <w:rsid w:val="006A6355"/>
    <w:rsid w:val="006A7548"/>
    <w:rsid w:val="006B1BF7"/>
    <w:rsid w:val="006B2B8F"/>
    <w:rsid w:val="006B2D2C"/>
    <w:rsid w:val="006B2DB1"/>
    <w:rsid w:val="006B2E15"/>
    <w:rsid w:val="006B2F4C"/>
    <w:rsid w:val="006B3754"/>
    <w:rsid w:val="006B47A8"/>
    <w:rsid w:val="006B5459"/>
    <w:rsid w:val="006C0081"/>
    <w:rsid w:val="006C119E"/>
    <w:rsid w:val="006C25FA"/>
    <w:rsid w:val="006C2AD7"/>
    <w:rsid w:val="006C453A"/>
    <w:rsid w:val="006D5DF9"/>
    <w:rsid w:val="006D786B"/>
    <w:rsid w:val="006E0D32"/>
    <w:rsid w:val="006E3794"/>
    <w:rsid w:val="006E4220"/>
    <w:rsid w:val="006E4C41"/>
    <w:rsid w:val="006F0A28"/>
    <w:rsid w:val="006F6967"/>
    <w:rsid w:val="00702974"/>
    <w:rsid w:val="0070680F"/>
    <w:rsid w:val="00707C05"/>
    <w:rsid w:val="00713C0A"/>
    <w:rsid w:val="00715308"/>
    <w:rsid w:val="0072155A"/>
    <w:rsid w:val="0072337E"/>
    <w:rsid w:val="00725C6C"/>
    <w:rsid w:val="007414B1"/>
    <w:rsid w:val="007417F6"/>
    <w:rsid w:val="00743612"/>
    <w:rsid w:val="00747169"/>
    <w:rsid w:val="00752535"/>
    <w:rsid w:val="00752763"/>
    <w:rsid w:val="00756D7F"/>
    <w:rsid w:val="00756DCC"/>
    <w:rsid w:val="00757440"/>
    <w:rsid w:val="00763FCD"/>
    <w:rsid w:val="00765C5A"/>
    <w:rsid w:val="007669E4"/>
    <w:rsid w:val="00775342"/>
    <w:rsid w:val="00775C21"/>
    <w:rsid w:val="00780863"/>
    <w:rsid w:val="0078123E"/>
    <w:rsid w:val="0078330D"/>
    <w:rsid w:val="00790779"/>
    <w:rsid w:val="00793D47"/>
    <w:rsid w:val="007A12EC"/>
    <w:rsid w:val="007A28A1"/>
    <w:rsid w:val="007A416D"/>
    <w:rsid w:val="007A6472"/>
    <w:rsid w:val="007B4269"/>
    <w:rsid w:val="007B5E28"/>
    <w:rsid w:val="007B611D"/>
    <w:rsid w:val="007B7258"/>
    <w:rsid w:val="007B7EBD"/>
    <w:rsid w:val="007C0F1A"/>
    <w:rsid w:val="007C33AA"/>
    <w:rsid w:val="007C5BAD"/>
    <w:rsid w:val="007C7051"/>
    <w:rsid w:val="007D6E93"/>
    <w:rsid w:val="007E73A0"/>
    <w:rsid w:val="007F05C3"/>
    <w:rsid w:val="007F4213"/>
    <w:rsid w:val="007F4542"/>
    <w:rsid w:val="007F595B"/>
    <w:rsid w:val="00801608"/>
    <w:rsid w:val="00801675"/>
    <w:rsid w:val="0080245F"/>
    <w:rsid w:val="00802AF0"/>
    <w:rsid w:val="00805E3A"/>
    <w:rsid w:val="00806884"/>
    <w:rsid w:val="008069A7"/>
    <w:rsid w:val="00807467"/>
    <w:rsid w:val="008102B4"/>
    <w:rsid w:val="00815717"/>
    <w:rsid w:val="0082015F"/>
    <w:rsid w:val="008236F3"/>
    <w:rsid w:val="00824AF5"/>
    <w:rsid w:val="00825D06"/>
    <w:rsid w:val="00826FA4"/>
    <w:rsid w:val="0082710A"/>
    <w:rsid w:val="008329B6"/>
    <w:rsid w:val="00834025"/>
    <w:rsid w:val="00837997"/>
    <w:rsid w:val="00843DEF"/>
    <w:rsid w:val="0084444A"/>
    <w:rsid w:val="00844B35"/>
    <w:rsid w:val="008552F1"/>
    <w:rsid w:val="008624B6"/>
    <w:rsid w:val="00863F30"/>
    <w:rsid w:val="00866D4A"/>
    <w:rsid w:val="00870A33"/>
    <w:rsid w:val="008777C1"/>
    <w:rsid w:val="00884E37"/>
    <w:rsid w:val="0089723B"/>
    <w:rsid w:val="008A3DF5"/>
    <w:rsid w:val="008A6BFC"/>
    <w:rsid w:val="008B094B"/>
    <w:rsid w:val="008B18EA"/>
    <w:rsid w:val="008B4582"/>
    <w:rsid w:val="008B4F2F"/>
    <w:rsid w:val="008C149B"/>
    <w:rsid w:val="008C1CC7"/>
    <w:rsid w:val="008C2D44"/>
    <w:rsid w:val="008C55D8"/>
    <w:rsid w:val="008C6DCF"/>
    <w:rsid w:val="008C74DA"/>
    <w:rsid w:val="008D5758"/>
    <w:rsid w:val="008E0C82"/>
    <w:rsid w:val="008E0D1B"/>
    <w:rsid w:val="008E1A5B"/>
    <w:rsid w:val="008E1C2E"/>
    <w:rsid w:val="008E4EB7"/>
    <w:rsid w:val="008F550C"/>
    <w:rsid w:val="008F7059"/>
    <w:rsid w:val="0090636D"/>
    <w:rsid w:val="009072A0"/>
    <w:rsid w:val="00907C30"/>
    <w:rsid w:val="00914559"/>
    <w:rsid w:val="00920688"/>
    <w:rsid w:val="009207AD"/>
    <w:rsid w:val="009210F8"/>
    <w:rsid w:val="00921E2A"/>
    <w:rsid w:val="009231EA"/>
    <w:rsid w:val="009252CD"/>
    <w:rsid w:val="009274DC"/>
    <w:rsid w:val="00933F4B"/>
    <w:rsid w:val="009351EE"/>
    <w:rsid w:val="009420D1"/>
    <w:rsid w:val="009462E2"/>
    <w:rsid w:val="009516B4"/>
    <w:rsid w:val="00951B5E"/>
    <w:rsid w:val="00951E7F"/>
    <w:rsid w:val="00952321"/>
    <w:rsid w:val="00954A76"/>
    <w:rsid w:val="00955639"/>
    <w:rsid w:val="00955D50"/>
    <w:rsid w:val="009629ED"/>
    <w:rsid w:val="00964F69"/>
    <w:rsid w:val="00966B13"/>
    <w:rsid w:val="00974927"/>
    <w:rsid w:val="009808B8"/>
    <w:rsid w:val="00984BF9"/>
    <w:rsid w:val="00986A19"/>
    <w:rsid w:val="00986B64"/>
    <w:rsid w:val="009924DF"/>
    <w:rsid w:val="009949E8"/>
    <w:rsid w:val="00994C68"/>
    <w:rsid w:val="00994CB3"/>
    <w:rsid w:val="009A2A96"/>
    <w:rsid w:val="009A4501"/>
    <w:rsid w:val="009B080C"/>
    <w:rsid w:val="009B08AC"/>
    <w:rsid w:val="009B301B"/>
    <w:rsid w:val="009B5091"/>
    <w:rsid w:val="009C0E50"/>
    <w:rsid w:val="009C614D"/>
    <w:rsid w:val="009C69F3"/>
    <w:rsid w:val="009D5AF7"/>
    <w:rsid w:val="009D75D2"/>
    <w:rsid w:val="009D7CC8"/>
    <w:rsid w:val="009E05E2"/>
    <w:rsid w:val="009E6D1E"/>
    <w:rsid w:val="009F0BE9"/>
    <w:rsid w:val="009F32D6"/>
    <w:rsid w:val="009F399D"/>
    <w:rsid w:val="009F72E8"/>
    <w:rsid w:val="00A02940"/>
    <w:rsid w:val="00A04DCE"/>
    <w:rsid w:val="00A07146"/>
    <w:rsid w:val="00A12F9F"/>
    <w:rsid w:val="00A163DB"/>
    <w:rsid w:val="00A1709B"/>
    <w:rsid w:val="00A238F3"/>
    <w:rsid w:val="00A30DB9"/>
    <w:rsid w:val="00A35E58"/>
    <w:rsid w:val="00A46943"/>
    <w:rsid w:val="00A55E27"/>
    <w:rsid w:val="00A62E01"/>
    <w:rsid w:val="00A64AFD"/>
    <w:rsid w:val="00A70B06"/>
    <w:rsid w:val="00A71FD4"/>
    <w:rsid w:val="00A72D03"/>
    <w:rsid w:val="00A81FD9"/>
    <w:rsid w:val="00A82125"/>
    <w:rsid w:val="00A8383A"/>
    <w:rsid w:val="00A87F4A"/>
    <w:rsid w:val="00A93F19"/>
    <w:rsid w:val="00A949B2"/>
    <w:rsid w:val="00A96D6F"/>
    <w:rsid w:val="00A9787C"/>
    <w:rsid w:val="00AA7253"/>
    <w:rsid w:val="00AB0662"/>
    <w:rsid w:val="00AB6C84"/>
    <w:rsid w:val="00AB6D1C"/>
    <w:rsid w:val="00AC33BC"/>
    <w:rsid w:val="00AC68CC"/>
    <w:rsid w:val="00AD610C"/>
    <w:rsid w:val="00AE21DF"/>
    <w:rsid w:val="00AE5A5A"/>
    <w:rsid w:val="00AF71D1"/>
    <w:rsid w:val="00AF7F06"/>
    <w:rsid w:val="00B016D9"/>
    <w:rsid w:val="00B017D7"/>
    <w:rsid w:val="00B0291B"/>
    <w:rsid w:val="00B144B1"/>
    <w:rsid w:val="00B2126E"/>
    <w:rsid w:val="00B27F0A"/>
    <w:rsid w:val="00B35A1E"/>
    <w:rsid w:val="00B37038"/>
    <w:rsid w:val="00B375C4"/>
    <w:rsid w:val="00B4789E"/>
    <w:rsid w:val="00B5039A"/>
    <w:rsid w:val="00B50769"/>
    <w:rsid w:val="00B51F97"/>
    <w:rsid w:val="00B527C2"/>
    <w:rsid w:val="00B6279C"/>
    <w:rsid w:val="00B631D9"/>
    <w:rsid w:val="00B64416"/>
    <w:rsid w:val="00B73358"/>
    <w:rsid w:val="00B82311"/>
    <w:rsid w:val="00BA0F99"/>
    <w:rsid w:val="00BA2600"/>
    <w:rsid w:val="00BA2603"/>
    <w:rsid w:val="00BB035E"/>
    <w:rsid w:val="00BB2E42"/>
    <w:rsid w:val="00BC0ADB"/>
    <w:rsid w:val="00BC637B"/>
    <w:rsid w:val="00BC6501"/>
    <w:rsid w:val="00BC76A0"/>
    <w:rsid w:val="00BD2408"/>
    <w:rsid w:val="00BD53AE"/>
    <w:rsid w:val="00BD780A"/>
    <w:rsid w:val="00BE3E76"/>
    <w:rsid w:val="00BE4682"/>
    <w:rsid w:val="00BE4753"/>
    <w:rsid w:val="00BE784A"/>
    <w:rsid w:val="00BF03CB"/>
    <w:rsid w:val="00C00442"/>
    <w:rsid w:val="00C04C32"/>
    <w:rsid w:val="00C07DC3"/>
    <w:rsid w:val="00C10397"/>
    <w:rsid w:val="00C13FBD"/>
    <w:rsid w:val="00C159DE"/>
    <w:rsid w:val="00C22951"/>
    <w:rsid w:val="00C26D0C"/>
    <w:rsid w:val="00C306C9"/>
    <w:rsid w:val="00C30942"/>
    <w:rsid w:val="00C31D78"/>
    <w:rsid w:val="00C33694"/>
    <w:rsid w:val="00C376D7"/>
    <w:rsid w:val="00C37A80"/>
    <w:rsid w:val="00C45545"/>
    <w:rsid w:val="00C63A46"/>
    <w:rsid w:val="00C67886"/>
    <w:rsid w:val="00C77ABF"/>
    <w:rsid w:val="00C80D69"/>
    <w:rsid w:val="00C83B52"/>
    <w:rsid w:val="00C85F6C"/>
    <w:rsid w:val="00C905B1"/>
    <w:rsid w:val="00C92E49"/>
    <w:rsid w:val="00C9419F"/>
    <w:rsid w:val="00C949AA"/>
    <w:rsid w:val="00CA3151"/>
    <w:rsid w:val="00CA42A6"/>
    <w:rsid w:val="00CA6EC8"/>
    <w:rsid w:val="00CC10C2"/>
    <w:rsid w:val="00CC30C0"/>
    <w:rsid w:val="00CC39F6"/>
    <w:rsid w:val="00CC57EC"/>
    <w:rsid w:val="00CC5A86"/>
    <w:rsid w:val="00CC67F0"/>
    <w:rsid w:val="00CD1BC8"/>
    <w:rsid w:val="00CD3CF9"/>
    <w:rsid w:val="00CE780F"/>
    <w:rsid w:val="00D00D00"/>
    <w:rsid w:val="00D01FCE"/>
    <w:rsid w:val="00D075EF"/>
    <w:rsid w:val="00D07A7C"/>
    <w:rsid w:val="00D13C84"/>
    <w:rsid w:val="00D21FB5"/>
    <w:rsid w:val="00D337DA"/>
    <w:rsid w:val="00D42E58"/>
    <w:rsid w:val="00D43209"/>
    <w:rsid w:val="00D44D66"/>
    <w:rsid w:val="00D47D77"/>
    <w:rsid w:val="00D5467A"/>
    <w:rsid w:val="00D568B1"/>
    <w:rsid w:val="00D57881"/>
    <w:rsid w:val="00D60FED"/>
    <w:rsid w:val="00D6473E"/>
    <w:rsid w:val="00D66E75"/>
    <w:rsid w:val="00D70E58"/>
    <w:rsid w:val="00D7520C"/>
    <w:rsid w:val="00D76AE1"/>
    <w:rsid w:val="00D76E08"/>
    <w:rsid w:val="00D83C1D"/>
    <w:rsid w:val="00D87098"/>
    <w:rsid w:val="00D90F1F"/>
    <w:rsid w:val="00D915E0"/>
    <w:rsid w:val="00D91AA3"/>
    <w:rsid w:val="00D923E1"/>
    <w:rsid w:val="00D92F22"/>
    <w:rsid w:val="00D93943"/>
    <w:rsid w:val="00D93E7B"/>
    <w:rsid w:val="00DA158E"/>
    <w:rsid w:val="00DA3C73"/>
    <w:rsid w:val="00DA3D98"/>
    <w:rsid w:val="00DA579D"/>
    <w:rsid w:val="00DA600D"/>
    <w:rsid w:val="00DB50AC"/>
    <w:rsid w:val="00DB70A1"/>
    <w:rsid w:val="00DB7336"/>
    <w:rsid w:val="00DD1E0C"/>
    <w:rsid w:val="00DD25B1"/>
    <w:rsid w:val="00DD3BBC"/>
    <w:rsid w:val="00DD6D94"/>
    <w:rsid w:val="00DE1230"/>
    <w:rsid w:val="00DE641E"/>
    <w:rsid w:val="00DF075D"/>
    <w:rsid w:val="00DF09D0"/>
    <w:rsid w:val="00DF674E"/>
    <w:rsid w:val="00E10442"/>
    <w:rsid w:val="00E122D4"/>
    <w:rsid w:val="00E14F35"/>
    <w:rsid w:val="00E22061"/>
    <w:rsid w:val="00E2400D"/>
    <w:rsid w:val="00E24D77"/>
    <w:rsid w:val="00E3252F"/>
    <w:rsid w:val="00E32E2E"/>
    <w:rsid w:val="00E35B38"/>
    <w:rsid w:val="00E60BA3"/>
    <w:rsid w:val="00E61826"/>
    <w:rsid w:val="00E62AA2"/>
    <w:rsid w:val="00E63226"/>
    <w:rsid w:val="00E65938"/>
    <w:rsid w:val="00E73A25"/>
    <w:rsid w:val="00E749C3"/>
    <w:rsid w:val="00E81522"/>
    <w:rsid w:val="00E83D7A"/>
    <w:rsid w:val="00E84847"/>
    <w:rsid w:val="00E939E3"/>
    <w:rsid w:val="00EA2B76"/>
    <w:rsid w:val="00EA39D6"/>
    <w:rsid w:val="00EA4C99"/>
    <w:rsid w:val="00EB0A4A"/>
    <w:rsid w:val="00EC0877"/>
    <w:rsid w:val="00EC19A4"/>
    <w:rsid w:val="00EC7C8A"/>
    <w:rsid w:val="00ED0B39"/>
    <w:rsid w:val="00ED0FA9"/>
    <w:rsid w:val="00ED1CD0"/>
    <w:rsid w:val="00ED2DEF"/>
    <w:rsid w:val="00ED3455"/>
    <w:rsid w:val="00ED7332"/>
    <w:rsid w:val="00EE655F"/>
    <w:rsid w:val="00EF0B98"/>
    <w:rsid w:val="00EF1350"/>
    <w:rsid w:val="00EF3487"/>
    <w:rsid w:val="00EF41B2"/>
    <w:rsid w:val="00F17293"/>
    <w:rsid w:val="00F17D59"/>
    <w:rsid w:val="00F20EFC"/>
    <w:rsid w:val="00F212D3"/>
    <w:rsid w:val="00F22417"/>
    <w:rsid w:val="00F26664"/>
    <w:rsid w:val="00F270D6"/>
    <w:rsid w:val="00F27B09"/>
    <w:rsid w:val="00F36DD7"/>
    <w:rsid w:val="00F506E4"/>
    <w:rsid w:val="00F509E5"/>
    <w:rsid w:val="00F57B90"/>
    <w:rsid w:val="00F66226"/>
    <w:rsid w:val="00F71EB7"/>
    <w:rsid w:val="00F71F02"/>
    <w:rsid w:val="00F73A60"/>
    <w:rsid w:val="00F74386"/>
    <w:rsid w:val="00F81D18"/>
    <w:rsid w:val="00F846E1"/>
    <w:rsid w:val="00F92C6A"/>
    <w:rsid w:val="00F941D5"/>
    <w:rsid w:val="00FA4539"/>
    <w:rsid w:val="00FA4B0A"/>
    <w:rsid w:val="00FA51E0"/>
    <w:rsid w:val="00FB0713"/>
    <w:rsid w:val="00FB35AD"/>
    <w:rsid w:val="00FB44B6"/>
    <w:rsid w:val="00FC0CC7"/>
    <w:rsid w:val="00FC2E97"/>
    <w:rsid w:val="00FC4F8C"/>
    <w:rsid w:val="00FC5EAE"/>
    <w:rsid w:val="00FD184D"/>
    <w:rsid w:val="00FD2EF0"/>
    <w:rsid w:val="00FD3666"/>
    <w:rsid w:val="00FE15AB"/>
    <w:rsid w:val="00FE33FB"/>
    <w:rsid w:val="00FE3FFE"/>
    <w:rsid w:val="00FE4034"/>
    <w:rsid w:val="00FE67AF"/>
    <w:rsid w:val="00FF0CE7"/>
    <w:rsid w:val="00FF2027"/>
    <w:rsid w:val="00FF2499"/>
    <w:rsid w:val="00FF2FFC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5AC560"/>
  <w15:chartTrackingRefBased/>
  <w15:docId w15:val="{C2BAF26A-6A2E-4ED6-94E7-3BFEE6D8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397"/>
  </w:style>
  <w:style w:type="paragraph" w:styleId="Nagwek1">
    <w:name w:val="heading 1"/>
    <w:basedOn w:val="Normalny"/>
    <w:next w:val="Normalny"/>
    <w:link w:val="Nagwek1Znak"/>
    <w:uiPriority w:val="9"/>
    <w:qFormat/>
    <w:rsid w:val="000149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23291"/>
    <w:pPr>
      <w:keepNext/>
      <w:keepLines/>
      <w:spacing w:after="100" w:line="240" w:lineRule="atLeast"/>
      <w:outlineLvl w:val="1"/>
    </w:pPr>
    <w:rPr>
      <w:rFonts w:ascii="Calibri" w:eastAsia="Times New Roman" w:hAnsi="Calibri" w:cs="Times New Roman"/>
      <w:b/>
      <w:bCs/>
      <w:caps/>
      <w:color w:val="008B98"/>
      <w:kern w:val="0"/>
      <w:sz w:val="18"/>
      <w:szCs w:val="26"/>
      <w:lang w:eastAsia="en-GB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32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4DB0"/>
    <w:pPr>
      <w:spacing w:after="0" w:line="240" w:lineRule="auto"/>
      <w:ind w:left="720"/>
    </w:pPr>
    <w:rPr>
      <w:rFonts w:ascii="Calibri" w:hAnsi="Calibri" w:cs="Calibri"/>
      <w:kern w:val="0"/>
      <w:lang w:eastAsia="en-GB"/>
    </w:rPr>
  </w:style>
  <w:style w:type="character" w:styleId="Wzmianka">
    <w:name w:val="Mention"/>
    <w:basedOn w:val="Domylnaczcionkaakapitu"/>
    <w:uiPriority w:val="99"/>
    <w:unhideWhenUsed/>
    <w:rsid w:val="00374DB0"/>
    <w:rPr>
      <w:color w:val="2B579A"/>
      <w:shd w:val="clear" w:color="auto" w:fill="E1DFDD"/>
    </w:rPr>
  </w:style>
  <w:style w:type="character" w:styleId="Hipercze">
    <w:name w:val="Hyperlink"/>
    <w:basedOn w:val="Domylnaczcionkaakapitu"/>
    <w:uiPriority w:val="99"/>
    <w:unhideWhenUsed/>
    <w:rsid w:val="00374DB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4DB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B47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47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789E"/>
  </w:style>
  <w:style w:type="paragraph" w:styleId="Stopka">
    <w:name w:val="footer"/>
    <w:basedOn w:val="Normalny"/>
    <w:link w:val="StopkaZnak"/>
    <w:uiPriority w:val="99"/>
    <w:unhideWhenUsed/>
    <w:rsid w:val="00B47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789E"/>
  </w:style>
  <w:style w:type="character" w:styleId="Odwoaniedokomentarza">
    <w:name w:val="annotation reference"/>
    <w:basedOn w:val="Domylnaczcionkaakapitu"/>
    <w:uiPriority w:val="99"/>
    <w:semiHidden/>
    <w:unhideWhenUsed/>
    <w:rsid w:val="00FF72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72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72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72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72F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949AA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rsid w:val="00423291"/>
    <w:rPr>
      <w:rFonts w:ascii="Calibri" w:eastAsia="Times New Roman" w:hAnsi="Calibri" w:cs="Times New Roman"/>
      <w:b/>
      <w:bCs/>
      <w:caps/>
      <w:color w:val="008B98"/>
      <w:kern w:val="0"/>
      <w:sz w:val="18"/>
      <w:szCs w:val="26"/>
      <w:lang w:eastAsia="en-GB"/>
      <w14:ligatures w14:val="none"/>
    </w:rPr>
  </w:style>
  <w:style w:type="paragraph" w:customStyle="1" w:styleId="ContactName">
    <w:name w:val="ContactName"/>
    <w:basedOn w:val="Nagwek3"/>
    <w:qFormat/>
    <w:rsid w:val="00423291"/>
    <w:pPr>
      <w:spacing w:before="0" w:line="216" w:lineRule="atLeast"/>
    </w:pPr>
    <w:rPr>
      <w:rFonts w:ascii="Calibri" w:eastAsia="Times New Roman" w:hAnsi="Calibri" w:cs="Times New Roman"/>
      <w:b/>
      <w:bCs/>
      <w:color w:val="008B98"/>
      <w:kern w:val="0"/>
      <w:sz w:val="18"/>
      <w:lang w:eastAsia="en-GB"/>
      <w14:ligatures w14:val="none"/>
    </w:rPr>
  </w:style>
  <w:style w:type="paragraph" w:customStyle="1" w:styleId="ContactDetail">
    <w:name w:val="ContactDetail"/>
    <w:basedOn w:val="Normalny"/>
    <w:rsid w:val="00423291"/>
    <w:pPr>
      <w:spacing w:after="0" w:line="216" w:lineRule="atLeast"/>
    </w:pPr>
    <w:rPr>
      <w:rFonts w:ascii="Calibri" w:eastAsia="Times New Roman" w:hAnsi="Calibri" w:cs="Times New Roman"/>
      <w:color w:val="000000"/>
      <w:kern w:val="0"/>
      <w:sz w:val="18"/>
      <w:szCs w:val="24"/>
      <w:lang w:eastAsia="en-GB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32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B6D1C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9252C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14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5A410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k">
    <w:name w:val="Brak"/>
    <w:rsid w:val="005A4108"/>
  </w:style>
  <w:style w:type="character" w:customStyle="1" w:styleId="Hyperlink0">
    <w:name w:val="Hyperlink.0"/>
    <w:basedOn w:val="Brak"/>
    <w:rsid w:val="005A4108"/>
  </w:style>
  <w:style w:type="table" w:customStyle="1" w:styleId="PlainTable41">
    <w:name w:val="Plain Table 41"/>
    <w:basedOn w:val="Standardowy"/>
    <w:uiPriority w:val="44"/>
    <w:rsid w:val="005A4108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ytu">
    <w:name w:val="Title"/>
    <w:basedOn w:val="Normalny"/>
    <w:next w:val="Normalny"/>
    <w:link w:val="TytuZnak"/>
    <w:uiPriority w:val="10"/>
    <w:qFormat/>
    <w:rsid w:val="00AB6C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0"/>
      <w:sz w:val="56"/>
      <w:szCs w:val="56"/>
      <w:lang w:val="en-US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AB6C84"/>
    <w:rPr>
      <w:rFonts w:asciiTheme="majorHAnsi" w:eastAsiaTheme="majorEastAsia" w:hAnsiTheme="majorHAnsi" w:cstheme="majorBidi"/>
      <w:spacing w:val="-10"/>
      <w:kern w:val="0"/>
      <w:sz w:val="56"/>
      <w:szCs w:val="56"/>
      <w:lang w:val="en-US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6C84"/>
    <w:pPr>
      <w:numPr>
        <w:ilvl w:val="1"/>
      </w:numPr>
    </w:pPr>
    <w:rPr>
      <w:rFonts w:eastAsiaTheme="minorEastAsia"/>
      <w:color w:val="5A5A5A" w:themeColor="text1" w:themeTint="A5"/>
      <w:spacing w:val="15"/>
      <w:kern w:val="0"/>
      <w:lang w:val="en-US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AB6C84"/>
    <w:rPr>
      <w:rFonts w:eastAsiaTheme="minorEastAsia"/>
      <w:color w:val="5A5A5A" w:themeColor="text1" w:themeTint="A5"/>
      <w:spacing w:val="15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22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7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4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ushmanwakefield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gdalena.ossowska@linkleaders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rade Gothic Next">
      <a:majorFont>
        <a:latin typeface="Trade Gothic Next"/>
        <a:ea typeface=""/>
        <a:cs typeface=""/>
      </a:majorFont>
      <a:minorFont>
        <a:latin typeface="Trade Gothic N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f8808a-7a3a-41fa-80a3-889cb59563bd">
      <Terms xmlns="http://schemas.microsoft.com/office/infopath/2007/PartnerControls"/>
    </lcf76f155ced4ddcb4097134ff3c332f>
    <TaxCatchAll xmlns="f9727d1b-6553-49d5-934b-c4f1e0c0ab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1DEE5BD419542BD91A75385DF92AE" ma:contentTypeVersion="15" ma:contentTypeDescription="Create a new document." ma:contentTypeScope="" ma:versionID="876430771cc8ff5d04bf5894f3572559">
  <xsd:schema xmlns:xsd="http://www.w3.org/2001/XMLSchema" xmlns:xs="http://www.w3.org/2001/XMLSchema" xmlns:p="http://schemas.microsoft.com/office/2006/metadata/properties" xmlns:ns2="e1f8808a-7a3a-41fa-80a3-889cb59563bd" xmlns:ns3="f9727d1b-6553-49d5-934b-c4f1e0c0abbe" targetNamespace="http://schemas.microsoft.com/office/2006/metadata/properties" ma:root="true" ma:fieldsID="fc456a35ecff2c3bc75e0c84f303e4a4" ns2:_="" ns3:_="">
    <xsd:import namespace="e1f8808a-7a3a-41fa-80a3-889cb59563bd"/>
    <xsd:import namespace="f9727d1b-6553-49d5-934b-c4f1e0c0a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8808a-7a3a-41fa-80a3-889cb59563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a8603ae-3637-436a-adfc-4f3f468c9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7d1b-6553-49d5-934b-c4f1e0c0ab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c7d1ea0-d35d-4d6c-a5a4-df4ce8bdbfbb}" ma:internalName="TaxCatchAll" ma:showField="CatchAllData" ma:web="f9727d1b-6553-49d5-934b-c4f1e0c0a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BE74DE-1D20-43AC-BA7E-44ED0E35ECB6}">
  <ds:schemaRefs>
    <ds:schemaRef ds:uri="http://schemas.microsoft.com/office/2006/metadata/properties"/>
    <ds:schemaRef ds:uri="http://schemas.microsoft.com/office/infopath/2007/PartnerControls"/>
    <ds:schemaRef ds:uri="e1f8808a-7a3a-41fa-80a3-889cb59563bd"/>
    <ds:schemaRef ds:uri="f9727d1b-6553-49d5-934b-c4f1e0c0abbe"/>
  </ds:schemaRefs>
</ds:datastoreItem>
</file>

<file path=customXml/itemProps2.xml><?xml version="1.0" encoding="utf-8"?>
<ds:datastoreItem xmlns:ds="http://schemas.openxmlformats.org/officeDocument/2006/customXml" ds:itemID="{DF51E0F4-8E2E-4E83-AF2D-43EA00FCC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9D9C51-50B5-465A-92DF-DE552A48BA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D63E84-3A94-4FB2-8D5D-5F0BDB511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8808a-7a3a-41fa-80a3-889cb59563bd"/>
    <ds:schemaRef ds:uri="f9727d1b-6553-49d5-934b-c4f1e0c0a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779</Words>
  <Characters>4676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Hamlyn</dc:creator>
  <cp:keywords/>
  <dc:description/>
  <cp:lastModifiedBy>Link Leaders</cp:lastModifiedBy>
  <cp:revision>5</cp:revision>
  <dcterms:created xsi:type="dcterms:W3CDTF">2026-03-20T12:11:00Z</dcterms:created>
  <dcterms:modified xsi:type="dcterms:W3CDTF">2026-04-07T10:22:00Z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86f961-1d3e-4cfe-b1e9-19b9bcf12554_Enabled">
    <vt:lpwstr>true</vt:lpwstr>
  </property>
  <property fmtid="{D5CDD505-2E9C-101B-9397-08002B2CF9AE}" pid="3" name="MSIP_Label_b086f961-1d3e-4cfe-b1e9-19b9bcf12554_SetDate">
    <vt:lpwstr>2023-10-11T16:45:55Z</vt:lpwstr>
  </property>
  <property fmtid="{D5CDD505-2E9C-101B-9397-08002B2CF9AE}" pid="4" name="MSIP_Label_b086f961-1d3e-4cfe-b1e9-19b9bcf12554_Method">
    <vt:lpwstr>Standard</vt:lpwstr>
  </property>
  <property fmtid="{D5CDD505-2E9C-101B-9397-08002B2CF9AE}" pid="5" name="MSIP_Label_b086f961-1d3e-4cfe-b1e9-19b9bcf12554_Name">
    <vt:lpwstr>Private</vt:lpwstr>
  </property>
  <property fmtid="{D5CDD505-2E9C-101B-9397-08002B2CF9AE}" pid="6" name="MSIP_Label_b086f961-1d3e-4cfe-b1e9-19b9bcf12554_SiteId">
    <vt:lpwstr>6facebd9-e318-4ea6-a98b-e892ee55070f</vt:lpwstr>
  </property>
  <property fmtid="{D5CDD505-2E9C-101B-9397-08002B2CF9AE}" pid="7" name="MSIP_Label_b086f961-1d3e-4cfe-b1e9-19b9bcf12554_ActionId">
    <vt:lpwstr>6a415784-dea8-4208-8d57-b4e4b2533bc0</vt:lpwstr>
  </property>
  <property fmtid="{D5CDD505-2E9C-101B-9397-08002B2CF9AE}" pid="8" name="MSIP_Label_b086f961-1d3e-4cfe-b1e9-19b9bcf12554_ContentBits">
    <vt:lpwstr>0</vt:lpwstr>
  </property>
  <property fmtid="{D5CDD505-2E9C-101B-9397-08002B2CF9AE}" pid="9" name="GrammarlyDocumentId">
    <vt:lpwstr>31ba37b54f0d3e143930a0619014cf697fbff079f683d56c7add9a11d8f1cbec</vt:lpwstr>
  </property>
  <property fmtid="{D5CDD505-2E9C-101B-9397-08002B2CF9AE}" pid="10" name="ContentTypeId">
    <vt:lpwstr>0x0101007E41DEE5BD419542BD91A75385DF92AE</vt:lpwstr>
  </property>
  <property fmtid="{D5CDD505-2E9C-101B-9397-08002B2CF9AE}" pid="11" name="MediaServiceImageTags">
    <vt:lpwstr/>
  </property>
</Properties>
</file>