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E3D1B" w14:textId="77777777" w:rsidR="00231EFE" w:rsidRPr="0096183F" w:rsidRDefault="00231EFE">
      <w:pPr>
        <w:spacing w:line="276" w:lineRule="auto"/>
        <w:jc w:val="both"/>
        <w:rPr>
          <w:rFonts w:ascii="Arial" w:eastAsia="Arial" w:hAnsi="Arial" w:cs="Arial"/>
          <w:b/>
          <w:bCs/>
          <w:sz w:val="36"/>
          <w:szCs w:val="36"/>
          <w:lang w:val="it-IT"/>
        </w:rPr>
      </w:pPr>
    </w:p>
    <w:p w14:paraId="396659CD" w14:textId="77777777" w:rsidR="009D6E5E" w:rsidRDefault="0096183F" w:rsidP="009D6E5E">
      <w:pPr>
        <w:autoSpaceDE w:val="0"/>
        <w:autoSpaceDN w:val="0"/>
        <w:adjustRightInd w:val="0"/>
        <w:jc w:val="center"/>
        <w:rPr>
          <w:rFonts w:ascii="Arial" w:eastAsia="Times New Roman" w:hAnsi="Arial" w:cs="Arial"/>
          <w:b/>
          <w:bCs/>
          <w:lang w:val="it-IT"/>
        </w:rPr>
      </w:pPr>
      <w:r w:rsidRPr="0096183F">
        <w:rPr>
          <w:rFonts w:ascii="Arial" w:eastAsia="Times New Roman" w:hAnsi="Arial" w:cs="Arial"/>
          <w:b/>
          <w:bCs/>
          <w:lang w:val="it-IT"/>
        </w:rPr>
        <w:t xml:space="preserve">Spring GDS racconta attraverso il suo primo Impact Report i progressi </w:t>
      </w:r>
    </w:p>
    <w:p w14:paraId="6EBB8535" w14:textId="2882B4FF" w:rsidR="0096183F" w:rsidRPr="009D6E5E" w:rsidRDefault="0096183F" w:rsidP="009D6E5E">
      <w:pPr>
        <w:autoSpaceDE w:val="0"/>
        <w:autoSpaceDN w:val="0"/>
        <w:adjustRightInd w:val="0"/>
        <w:jc w:val="center"/>
        <w:rPr>
          <w:rFonts w:ascii="Arial" w:eastAsia="Times New Roman" w:hAnsi="Arial" w:cs="Arial"/>
          <w:b/>
          <w:bCs/>
          <w:lang w:val="it-IT"/>
        </w:rPr>
      </w:pPr>
      <w:r w:rsidRPr="0096183F">
        <w:rPr>
          <w:rFonts w:ascii="Arial" w:eastAsia="Times New Roman" w:hAnsi="Arial" w:cs="Arial"/>
          <w:b/>
          <w:bCs/>
          <w:lang w:val="it-IT"/>
        </w:rPr>
        <w:t xml:space="preserve">nella logistica sostenibile: 11,9 </w:t>
      </w:r>
      <w:proofErr w:type="spellStart"/>
      <w:r w:rsidRPr="0096183F">
        <w:rPr>
          <w:rFonts w:ascii="Arial" w:eastAsia="Times New Roman" w:hAnsi="Arial" w:cs="Arial"/>
          <w:b/>
          <w:bCs/>
          <w:lang w:val="it-IT"/>
        </w:rPr>
        <w:t>kt</w:t>
      </w:r>
      <w:proofErr w:type="spellEnd"/>
      <w:r w:rsidRPr="0096183F">
        <w:rPr>
          <w:rFonts w:ascii="Arial" w:eastAsia="Times New Roman" w:hAnsi="Arial" w:cs="Arial"/>
          <w:b/>
          <w:bCs/>
          <w:lang w:val="it-IT"/>
        </w:rPr>
        <w:t xml:space="preserve"> di </w:t>
      </w:r>
      <w:proofErr w:type="spellStart"/>
      <w:r w:rsidRPr="0096183F">
        <w:rPr>
          <w:rFonts w:ascii="Arial" w:eastAsia="Times New Roman" w:hAnsi="Arial" w:cs="Arial"/>
          <w:b/>
          <w:bCs/>
          <w:lang w:val="it-IT"/>
        </w:rPr>
        <w:t>CO</w:t>
      </w:r>
      <w:r w:rsidRPr="0096183F">
        <w:rPr>
          <w:rFonts w:ascii="Cambria Math" w:eastAsia="Times New Roman" w:hAnsi="Cambria Math" w:cs="Cambria Math"/>
          <w:b/>
          <w:bCs/>
          <w:lang w:val="it-IT"/>
        </w:rPr>
        <w:t>₂</w:t>
      </w:r>
      <w:r w:rsidRPr="0096183F">
        <w:rPr>
          <w:rFonts w:ascii="Arial" w:eastAsia="Times New Roman" w:hAnsi="Arial" w:cs="Arial"/>
          <w:b/>
          <w:bCs/>
          <w:lang w:val="it-IT"/>
        </w:rPr>
        <w:t>e</w:t>
      </w:r>
      <w:proofErr w:type="spellEnd"/>
      <w:r w:rsidRPr="0096183F">
        <w:rPr>
          <w:rFonts w:ascii="Arial" w:eastAsia="Times New Roman" w:hAnsi="Arial" w:cs="Arial"/>
          <w:b/>
          <w:bCs/>
          <w:lang w:val="it-IT"/>
        </w:rPr>
        <w:t xml:space="preserve"> in meno</w:t>
      </w:r>
    </w:p>
    <w:p w14:paraId="22861188" w14:textId="77777777" w:rsidR="0096183F" w:rsidRPr="0096183F" w:rsidRDefault="0096183F">
      <w:pPr>
        <w:spacing w:line="276" w:lineRule="auto"/>
        <w:jc w:val="both"/>
        <w:rPr>
          <w:rFonts w:ascii="Arial" w:eastAsia="Arial" w:hAnsi="Arial" w:cs="Arial"/>
          <w:sz w:val="20"/>
          <w:szCs w:val="20"/>
          <w:lang w:val="it-IT"/>
        </w:rPr>
      </w:pPr>
    </w:p>
    <w:p w14:paraId="2373E7F6" w14:textId="77777777" w:rsidR="00231EFE" w:rsidRPr="0096183F" w:rsidRDefault="00231EFE">
      <w:pPr>
        <w:spacing w:line="276" w:lineRule="auto"/>
        <w:jc w:val="both"/>
        <w:rPr>
          <w:rFonts w:ascii="Arial" w:eastAsia="Arial" w:hAnsi="Arial" w:cs="Arial"/>
          <w:b/>
          <w:bCs/>
          <w:sz w:val="20"/>
          <w:szCs w:val="20"/>
          <w:lang w:val="it-IT"/>
        </w:rPr>
      </w:pPr>
    </w:p>
    <w:p w14:paraId="3096855C" w14:textId="77777777" w:rsidR="00231EFE" w:rsidRPr="0096183F" w:rsidRDefault="00000000" w:rsidP="00703416">
      <w:pPr>
        <w:numPr>
          <w:ilvl w:val="0"/>
          <w:numId w:val="1"/>
        </w:numPr>
        <w:pBdr>
          <w:left w:val="none" w:sz="0" w:space="8" w:color="auto"/>
        </w:pBdr>
        <w:spacing w:line="276" w:lineRule="auto"/>
        <w:ind w:hanging="424"/>
        <w:jc w:val="both"/>
        <w:rPr>
          <w:rFonts w:ascii="Times New Roman" w:eastAsia="Times New Roman" w:hAnsi="Times New Roman" w:cs="Times New Roman"/>
          <w:sz w:val="20"/>
          <w:szCs w:val="20"/>
          <w:lang w:val="it-IT"/>
        </w:rPr>
      </w:pPr>
      <w:r w:rsidRPr="0096183F">
        <w:rPr>
          <w:rFonts w:ascii="Arial" w:eastAsia="Arial" w:hAnsi="Arial" w:cs="Arial"/>
          <w:sz w:val="20"/>
          <w:szCs w:val="20"/>
          <w:lang w:val="it-IT"/>
        </w:rPr>
        <w:t xml:space="preserve">Attraverso attività di </w:t>
      </w:r>
      <w:proofErr w:type="spellStart"/>
      <w:r w:rsidRPr="0096183F">
        <w:rPr>
          <w:rFonts w:ascii="Arial" w:eastAsia="Arial" w:hAnsi="Arial" w:cs="Arial"/>
          <w:sz w:val="20"/>
          <w:szCs w:val="20"/>
          <w:lang w:val="it-IT"/>
        </w:rPr>
        <w:t>insetting</w:t>
      </w:r>
      <w:proofErr w:type="spellEnd"/>
      <w:r w:rsidRPr="0096183F">
        <w:rPr>
          <w:rFonts w:ascii="Arial" w:eastAsia="Arial" w:hAnsi="Arial" w:cs="Arial"/>
          <w:sz w:val="20"/>
          <w:szCs w:val="20"/>
          <w:lang w:val="it-IT"/>
        </w:rPr>
        <w:t>, l'azienda ha immesso 4,1 milioni di litri di carburante rinnovabile HVO100 nella rete europea del diesel, ottenendo una riduzione delle emissioni equivalente a togliere dalle strade europee oltre 2.500 auto per un anno.</w:t>
      </w:r>
    </w:p>
    <w:p w14:paraId="1986EEB8" w14:textId="77777777" w:rsidR="00231EFE" w:rsidRPr="0096183F" w:rsidRDefault="00000000" w:rsidP="00703416">
      <w:pPr>
        <w:numPr>
          <w:ilvl w:val="0"/>
          <w:numId w:val="1"/>
        </w:numPr>
        <w:pBdr>
          <w:left w:val="none" w:sz="0" w:space="8" w:color="auto"/>
        </w:pBdr>
        <w:spacing w:line="276" w:lineRule="auto"/>
        <w:ind w:hanging="424"/>
        <w:jc w:val="both"/>
        <w:rPr>
          <w:rFonts w:ascii="Times New Roman" w:eastAsia="Times New Roman" w:hAnsi="Times New Roman" w:cs="Times New Roman"/>
          <w:sz w:val="20"/>
          <w:szCs w:val="20"/>
          <w:lang w:val="it-IT"/>
        </w:rPr>
      </w:pPr>
      <w:r w:rsidRPr="0096183F">
        <w:rPr>
          <w:rFonts w:ascii="Arial" w:eastAsia="Arial" w:hAnsi="Arial" w:cs="Arial"/>
          <w:sz w:val="20"/>
          <w:szCs w:val="20"/>
          <w:lang w:val="it-IT"/>
        </w:rPr>
        <w:t>Nuove iniziative, come il modello </w:t>
      </w:r>
      <w:r w:rsidRPr="0096183F">
        <w:rPr>
          <w:rFonts w:ascii="Arial" w:eastAsia="Arial" w:hAnsi="Arial" w:cs="Arial"/>
          <w:i/>
          <w:iCs/>
          <w:sz w:val="20"/>
          <w:szCs w:val="20"/>
          <w:lang w:val="it-IT"/>
        </w:rPr>
        <w:t xml:space="preserve">Book &amp; </w:t>
      </w:r>
      <w:proofErr w:type="spellStart"/>
      <w:r w:rsidRPr="0096183F">
        <w:rPr>
          <w:rFonts w:ascii="Arial" w:eastAsia="Arial" w:hAnsi="Arial" w:cs="Arial"/>
          <w:i/>
          <w:iCs/>
          <w:sz w:val="20"/>
          <w:szCs w:val="20"/>
          <w:lang w:val="it-IT"/>
        </w:rPr>
        <w:t>Claim</w:t>
      </w:r>
      <w:proofErr w:type="spellEnd"/>
      <w:r w:rsidRPr="0096183F">
        <w:rPr>
          <w:rFonts w:ascii="Arial" w:eastAsia="Arial" w:hAnsi="Arial" w:cs="Arial"/>
          <w:sz w:val="20"/>
          <w:szCs w:val="20"/>
          <w:lang w:val="it-IT"/>
        </w:rPr>
        <w:t> per il Carburante Sostenibile per l’Aviazione (SAF) e la rendicontazione delle emissioni per singolo cliente, permettono alle aziende di misurare con precisione e ridurre la propria impronta di emissioni.</w:t>
      </w:r>
    </w:p>
    <w:p w14:paraId="6880C994" w14:textId="77777777" w:rsidR="00231EFE" w:rsidRPr="0096183F" w:rsidRDefault="00231EFE" w:rsidP="00703416">
      <w:pPr>
        <w:jc w:val="both"/>
        <w:rPr>
          <w:rFonts w:ascii="Arial" w:eastAsia="Arial" w:hAnsi="Arial" w:cs="Arial"/>
          <w:b/>
          <w:bCs/>
          <w:sz w:val="20"/>
          <w:szCs w:val="20"/>
          <w:lang w:val="it-IT"/>
        </w:rPr>
      </w:pPr>
    </w:p>
    <w:p w14:paraId="706B3222" w14:textId="77777777" w:rsidR="009D6E5E" w:rsidRDefault="009D6E5E" w:rsidP="00703416">
      <w:pPr>
        <w:jc w:val="both"/>
        <w:rPr>
          <w:rFonts w:ascii="Arial" w:eastAsia="Arial" w:hAnsi="Arial" w:cs="Arial"/>
          <w:b/>
          <w:bCs/>
          <w:sz w:val="20"/>
          <w:szCs w:val="20"/>
          <w:lang w:val="it-IT"/>
        </w:rPr>
      </w:pPr>
    </w:p>
    <w:p w14:paraId="2FC23092" w14:textId="2EFB0E95" w:rsidR="00231EFE" w:rsidRPr="0096183F" w:rsidRDefault="00000000" w:rsidP="00703416">
      <w:pPr>
        <w:jc w:val="both"/>
        <w:rPr>
          <w:sz w:val="20"/>
          <w:szCs w:val="20"/>
          <w:lang w:val="it-IT"/>
        </w:rPr>
      </w:pPr>
      <w:r w:rsidRPr="0096183F">
        <w:rPr>
          <w:rFonts w:ascii="Arial" w:eastAsia="Arial" w:hAnsi="Arial" w:cs="Arial"/>
          <w:b/>
          <w:bCs/>
          <w:sz w:val="20"/>
          <w:szCs w:val="20"/>
          <w:lang w:val="it-IT"/>
        </w:rPr>
        <w:t>Milano, 7 aprile 2026</w:t>
      </w:r>
      <w:r w:rsidRPr="0096183F">
        <w:rPr>
          <w:rFonts w:ascii="Arial" w:eastAsia="Arial" w:hAnsi="Arial" w:cs="Arial"/>
          <w:sz w:val="20"/>
          <w:szCs w:val="20"/>
          <w:lang w:val="it-IT"/>
        </w:rPr>
        <w:t xml:space="preserve"> - Spring GDS, leader globale nella logistica cross-</w:t>
      </w:r>
      <w:proofErr w:type="spellStart"/>
      <w:r w:rsidRPr="0096183F">
        <w:rPr>
          <w:rFonts w:ascii="Arial" w:eastAsia="Arial" w:hAnsi="Arial" w:cs="Arial"/>
          <w:sz w:val="20"/>
          <w:szCs w:val="20"/>
          <w:lang w:val="it-IT"/>
        </w:rPr>
        <w:t>border</w:t>
      </w:r>
      <w:proofErr w:type="spellEnd"/>
      <w:r w:rsidRPr="0096183F">
        <w:rPr>
          <w:rFonts w:ascii="Arial" w:eastAsia="Arial" w:hAnsi="Arial" w:cs="Arial"/>
          <w:sz w:val="20"/>
          <w:szCs w:val="20"/>
          <w:lang w:val="it-IT"/>
        </w:rPr>
        <w:t xml:space="preserve">, ha pubblicato il proprio Impact Report: un documento che presenta i risultati ambientali e sociali del 2025 e traccia il percorso verso l’obiettivo </w:t>
      </w:r>
      <w:proofErr w:type="spellStart"/>
      <w:r w:rsidRPr="0096183F">
        <w:rPr>
          <w:rFonts w:ascii="Arial" w:eastAsia="Arial" w:hAnsi="Arial" w:cs="Arial"/>
          <w:sz w:val="20"/>
          <w:szCs w:val="20"/>
          <w:lang w:val="it-IT"/>
        </w:rPr>
        <w:t>SBTi</w:t>
      </w:r>
      <w:proofErr w:type="spellEnd"/>
      <w:r w:rsidRPr="0096183F">
        <w:rPr>
          <w:rFonts w:ascii="Arial" w:eastAsia="Arial" w:hAnsi="Arial" w:cs="Arial"/>
          <w:sz w:val="20"/>
          <w:szCs w:val="20"/>
          <w:lang w:val="it-IT"/>
        </w:rPr>
        <w:t xml:space="preserve"> del Gruppo </w:t>
      </w:r>
      <w:proofErr w:type="spellStart"/>
      <w:r w:rsidRPr="0096183F">
        <w:rPr>
          <w:rFonts w:ascii="Arial" w:eastAsia="Arial" w:hAnsi="Arial" w:cs="Arial"/>
          <w:sz w:val="20"/>
          <w:szCs w:val="20"/>
          <w:lang w:val="it-IT"/>
        </w:rPr>
        <w:t>PostNL</w:t>
      </w:r>
      <w:proofErr w:type="spellEnd"/>
      <w:r w:rsidRPr="0096183F">
        <w:rPr>
          <w:rFonts w:ascii="Arial" w:eastAsia="Arial" w:hAnsi="Arial" w:cs="Arial"/>
          <w:sz w:val="20"/>
          <w:szCs w:val="20"/>
          <w:lang w:val="it-IT"/>
        </w:rPr>
        <w:t xml:space="preserve"> di raggiungere il Net Zero entro il 2040. </w:t>
      </w:r>
    </w:p>
    <w:p w14:paraId="47CE29E7" w14:textId="77777777" w:rsidR="00231EFE" w:rsidRPr="0096183F" w:rsidRDefault="00231EFE" w:rsidP="00703416">
      <w:pPr>
        <w:jc w:val="both"/>
        <w:rPr>
          <w:rFonts w:ascii="Arial" w:eastAsia="Arial" w:hAnsi="Arial" w:cs="Arial"/>
          <w:sz w:val="20"/>
          <w:szCs w:val="20"/>
          <w:lang w:val="it-IT"/>
        </w:rPr>
      </w:pPr>
    </w:p>
    <w:p w14:paraId="35A7F3F5" w14:textId="79BB62BC" w:rsidR="00231EFE" w:rsidRPr="00096E44" w:rsidRDefault="00000000" w:rsidP="00703416">
      <w:pPr>
        <w:jc w:val="both"/>
        <w:rPr>
          <w:sz w:val="20"/>
          <w:szCs w:val="20"/>
          <w:lang w:val="it-IT"/>
        </w:rPr>
      </w:pPr>
      <w:r w:rsidRPr="0096183F">
        <w:rPr>
          <w:rFonts w:ascii="Arial" w:eastAsia="Arial" w:hAnsi="Arial" w:cs="Arial"/>
          <w:sz w:val="20"/>
          <w:szCs w:val="20"/>
          <w:lang w:val="it-IT"/>
        </w:rPr>
        <w:t xml:space="preserve">Il report mette in evidenza i progressi nella decarbonizzazione della logistica internazionale, e tra le iniziative spiccano: l’immissione </w:t>
      </w:r>
      <w:r w:rsidRPr="0096183F">
        <w:rPr>
          <w:rFonts w:ascii="Arial" w:eastAsia="Arial" w:hAnsi="Arial" w:cs="Arial"/>
          <w:b/>
          <w:bCs/>
          <w:sz w:val="20"/>
          <w:szCs w:val="20"/>
          <w:lang w:val="it-IT"/>
        </w:rPr>
        <w:t>di 4,1 milioni di litri di carburante rinnovabile HVO100</w:t>
      </w:r>
      <w:r w:rsidRPr="0096183F">
        <w:rPr>
          <w:rFonts w:ascii="Arial" w:eastAsia="Arial" w:hAnsi="Arial" w:cs="Arial"/>
          <w:sz w:val="20"/>
          <w:szCs w:val="20"/>
          <w:lang w:val="it-IT"/>
        </w:rPr>
        <w:t xml:space="preserve">, l’introduzione del modello Book &amp; </w:t>
      </w:r>
      <w:proofErr w:type="spellStart"/>
      <w:r w:rsidRPr="0096183F">
        <w:rPr>
          <w:rFonts w:ascii="Arial" w:eastAsia="Arial" w:hAnsi="Arial" w:cs="Arial"/>
          <w:sz w:val="20"/>
          <w:szCs w:val="20"/>
          <w:lang w:val="it-IT"/>
        </w:rPr>
        <w:t>Claim</w:t>
      </w:r>
      <w:proofErr w:type="spellEnd"/>
      <w:r w:rsidRPr="0096183F">
        <w:rPr>
          <w:rFonts w:ascii="Arial" w:eastAsia="Arial" w:hAnsi="Arial" w:cs="Arial"/>
          <w:sz w:val="20"/>
          <w:szCs w:val="20"/>
          <w:lang w:val="it-IT"/>
        </w:rPr>
        <w:t xml:space="preserve"> per il Carburante Sostenibile per l’Aviazione (SAF) e un sistema di rendicontazione delle emissioni per i clienti ancora più avanzato. Inoltre, cresce l’impiego di pallet box da fonte rinnovabile.</w:t>
      </w:r>
    </w:p>
    <w:p w14:paraId="0746C75D" w14:textId="77777777" w:rsidR="00231EFE" w:rsidRPr="0096183F" w:rsidRDefault="00000000" w:rsidP="00703416">
      <w:pPr>
        <w:spacing w:before="280" w:after="280" w:line="276" w:lineRule="auto"/>
        <w:jc w:val="both"/>
        <w:rPr>
          <w:sz w:val="20"/>
          <w:szCs w:val="20"/>
          <w:lang w:val="it-IT"/>
        </w:rPr>
      </w:pPr>
      <w:r w:rsidRPr="0096183F">
        <w:rPr>
          <w:rFonts w:ascii="Arial" w:eastAsia="Arial" w:hAnsi="Arial" w:cs="Arial"/>
          <w:sz w:val="20"/>
          <w:szCs w:val="20"/>
          <w:lang w:val="it-IT"/>
        </w:rPr>
        <w:t>Il report racconta l’evoluzione della strategia di sostenibilità di Spring GDS, in parallelo con l’espansione della sua rete logistica globale in 14 Paesi su tre continenti. In un settore sempre più chiamato a ridurre le emissioni, l’azienda concentra gli sforzi sulla decarbonizzazione della propria rete di trasporti in outsourcing, da cui proviene la maggior parte delle emissioni complessive.</w:t>
      </w:r>
    </w:p>
    <w:p w14:paraId="415AE798" w14:textId="77777777" w:rsidR="00231EFE" w:rsidRPr="0096183F" w:rsidRDefault="00000000" w:rsidP="00703416">
      <w:pPr>
        <w:spacing w:before="280" w:after="280" w:line="276" w:lineRule="auto"/>
        <w:jc w:val="both"/>
        <w:rPr>
          <w:sz w:val="20"/>
          <w:szCs w:val="20"/>
          <w:lang w:val="it-IT"/>
        </w:rPr>
      </w:pPr>
      <w:r w:rsidRPr="0096183F">
        <w:rPr>
          <w:rFonts w:ascii="Arial" w:eastAsia="Arial" w:hAnsi="Arial" w:cs="Arial"/>
          <w:sz w:val="20"/>
          <w:szCs w:val="20"/>
          <w:lang w:val="it-IT"/>
        </w:rPr>
        <w:t xml:space="preserve">Un traguardo importante del 2025 è stata l’estensione del </w:t>
      </w:r>
      <w:r w:rsidRPr="0096183F">
        <w:rPr>
          <w:rFonts w:ascii="Arial" w:eastAsia="Arial" w:hAnsi="Arial" w:cs="Arial"/>
          <w:b/>
          <w:bCs/>
          <w:sz w:val="20"/>
          <w:szCs w:val="20"/>
          <w:lang w:val="it-IT"/>
        </w:rPr>
        <w:t>programma aziendale di biocarburante HVO100</w:t>
      </w:r>
      <w:r w:rsidRPr="0096183F">
        <w:rPr>
          <w:rFonts w:ascii="Arial" w:eastAsia="Arial" w:hAnsi="Arial" w:cs="Arial"/>
          <w:sz w:val="20"/>
          <w:szCs w:val="20"/>
          <w:lang w:val="it-IT"/>
        </w:rPr>
        <w:t xml:space="preserve">, che ha permesso di immettere </w:t>
      </w:r>
      <w:r w:rsidRPr="0096183F">
        <w:rPr>
          <w:rFonts w:ascii="Arial" w:eastAsia="Arial" w:hAnsi="Arial" w:cs="Arial"/>
          <w:b/>
          <w:bCs/>
          <w:sz w:val="20"/>
          <w:szCs w:val="20"/>
          <w:lang w:val="it-IT"/>
        </w:rPr>
        <w:t>4,1 milioni di litri di diesel rinnovabile</w:t>
      </w:r>
      <w:r w:rsidRPr="0096183F">
        <w:rPr>
          <w:rFonts w:ascii="Arial" w:eastAsia="Arial" w:hAnsi="Arial" w:cs="Arial"/>
          <w:sz w:val="20"/>
          <w:szCs w:val="20"/>
          <w:lang w:val="it-IT"/>
        </w:rPr>
        <w:t xml:space="preserve"> nella rete europea di trasporto su gomma tra hub logistici. Da sola, questa iniziativa ha portato a una </w:t>
      </w:r>
      <w:r w:rsidRPr="0096183F">
        <w:rPr>
          <w:rFonts w:ascii="Arial" w:eastAsia="Arial" w:hAnsi="Arial" w:cs="Arial"/>
          <w:b/>
          <w:bCs/>
          <w:sz w:val="20"/>
          <w:szCs w:val="20"/>
          <w:lang w:val="it-IT"/>
        </w:rPr>
        <w:t xml:space="preserve">riduzione di 11,9 kilotonnellate di </w:t>
      </w:r>
      <w:proofErr w:type="spellStart"/>
      <w:r w:rsidRPr="0096183F">
        <w:rPr>
          <w:rFonts w:ascii="Arial" w:eastAsia="Arial" w:hAnsi="Arial" w:cs="Arial"/>
          <w:b/>
          <w:bCs/>
          <w:sz w:val="20"/>
          <w:szCs w:val="20"/>
          <w:lang w:val="it-IT"/>
        </w:rPr>
        <w:t>CO</w:t>
      </w:r>
      <w:r w:rsidRPr="0096183F">
        <w:rPr>
          <w:rFonts w:ascii="Cambria Math" w:eastAsia="Cambria Math" w:hAnsi="Cambria Math" w:cs="Cambria Math"/>
          <w:b/>
          <w:bCs/>
          <w:sz w:val="20"/>
          <w:szCs w:val="20"/>
          <w:lang w:val="it-IT"/>
        </w:rPr>
        <w:t>₂</w:t>
      </w:r>
      <w:r w:rsidRPr="0096183F">
        <w:rPr>
          <w:rFonts w:ascii="Arial" w:eastAsia="Arial" w:hAnsi="Arial" w:cs="Arial"/>
          <w:b/>
          <w:bCs/>
          <w:sz w:val="20"/>
          <w:szCs w:val="20"/>
          <w:lang w:val="it-IT"/>
        </w:rPr>
        <w:t>e</w:t>
      </w:r>
      <w:proofErr w:type="spellEnd"/>
      <w:r w:rsidRPr="0096183F">
        <w:rPr>
          <w:rFonts w:ascii="Arial" w:eastAsia="Arial" w:hAnsi="Arial" w:cs="Arial"/>
          <w:b/>
          <w:bCs/>
          <w:sz w:val="20"/>
          <w:szCs w:val="20"/>
          <w:lang w:val="it-IT"/>
        </w:rPr>
        <w:t>, pari all’effetto di togliere dalle strade europee per un anno oltre 2.500 auto</w:t>
      </w:r>
      <w:r w:rsidRPr="0096183F">
        <w:rPr>
          <w:rFonts w:ascii="Arial" w:eastAsia="Arial" w:hAnsi="Arial" w:cs="Arial"/>
          <w:sz w:val="20"/>
          <w:szCs w:val="20"/>
          <w:lang w:val="it-IT"/>
        </w:rPr>
        <w:t>.</w:t>
      </w:r>
    </w:p>
    <w:p w14:paraId="57737D85" w14:textId="77777777" w:rsidR="00231EFE" w:rsidRPr="0096183F" w:rsidRDefault="00000000" w:rsidP="00703416">
      <w:pPr>
        <w:jc w:val="both"/>
        <w:rPr>
          <w:rFonts w:ascii="Arial" w:eastAsia="Arial" w:hAnsi="Arial" w:cs="Arial"/>
          <w:sz w:val="20"/>
          <w:szCs w:val="20"/>
          <w:lang w:val="it-IT"/>
        </w:rPr>
      </w:pPr>
      <w:r w:rsidRPr="0096183F">
        <w:rPr>
          <w:rFonts w:ascii="Arial" w:eastAsia="Arial" w:hAnsi="Arial" w:cs="Arial"/>
          <w:sz w:val="20"/>
          <w:szCs w:val="20"/>
          <w:lang w:val="it-IT"/>
        </w:rPr>
        <w:t xml:space="preserve">Inoltre, l’azienda ha introdotto il modello </w:t>
      </w:r>
      <w:r w:rsidRPr="0096183F">
        <w:rPr>
          <w:rFonts w:ascii="Arial" w:eastAsia="Arial" w:hAnsi="Arial" w:cs="Arial"/>
          <w:b/>
          <w:bCs/>
          <w:sz w:val="20"/>
          <w:szCs w:val="20"/>
          <w:lang w:val="it-IT"/>
        </w:rPr>
        <w:t xml:space="preserve">Book &amp; </w:t>
      </w:r>
      <w:proofErr w:type="spellStart"/>
      <w:r w:rsidRPr="0096183F">
        <w:rPr>
          <w:rFonts w:ascii="Arial" w:eastAsia="Arial" w:hAnsi="Arial" w:cs="Arial"/>
          <w:b/>
          <w:bCs/>
          <w:sz w:val="20"/>
          <w:szCs w:val="20"/>
          <w:lang w:val="it-IT"/>
        </w:rPr>
        <w:t>Claim</w:t>
      </w:r>
      <w:proofErr w:type="spellEnd"/>
      <w:r w:rsidRPr="0096183F">
        <w:rPr>
          <w:rFonts w:ascii="Arial" w:eastAsia="Arial" w:hAnsi="Arial" w:cs="Arial"/>
          <w:b/>
          <w:bCs/>
          <w:sz w:val="20"/>
          <w:szCs w:val="20"/>
          <w:lang w:val="it-IT"/>
        </w:rPr>
        <w:t xml:space="preserve"> per il Carburante Sostenibile per l’Aviazione (SAF),</w:t>
      </w:r>
      <w:r w:rsidRPr="0096183F">
        <w:rPr>
          <w:rFonts w:ascii="Arial" w:eastAsia="Arial" w:hAnsi="Arial" w:cs="Arial"/>
          <w:sz w:val="20"/>
          <w:szCs w:val="20"/>
          <w:lang w:val="it-IT"/>
        </w:rPr>
        <w:t xml:space="preserve"> consentendo ai clienti di investire direttamente in un trasporto aereo a minori emissioni di carbonio. Il programma semplifica l’approvvigionamento, la certificazione e la rendicontazione dell’utilizzo di SAF e permette alle imprese di contabilizzare le riduzioni delle emissioni nelle proprie catene di fornitura Scope 3.</w:t>
      </w:r>
    </w:p>
    <w:p w14:paraId="72406627" w14:textId="77777777" w:rsidR="0096183F" w:rsidRPr="0096183F" w:rsidRDefault="0096183F" w:rsidP="00703416">
      <w:pPr>
        <w:jc w:val="both"/>
        <w:rPr>
          <w:sz w:val="20"/>
          <w:szCs w:val="20"/>
          <w:lang w:val="it-IT"/>
        </w:rPr>
      </w:pPr>
    </w:p>
    <w:p w14:paraId="4D1355E7" w14:textId="57AC0616" w:rsidR="0096183F" w:rsidRPr="0096183F" w:rsidRDefault="0096183F" w:rsidP="00703416">
      <w:pPr>
        <w:jc w:val="both"/>
        <w:rPr>
          <w:rFonts w:ascii="Arial" w:eastAsia="Arial" w:hAnsi="Arial" w:cs="Arial"/>
          <w:sz w:val="20"/>
          <w:szCs w:val="20"/>
          <w:lang w:val="it-IT"/>
        </w:rPr>
      </w:pPr>
      <w:r w:rsidRPr="0096183F">
        <w:rPr>
          <w:rFonts w:ascii="Arial" w:eastAsia="Arial" w:hAnsi="Arial" w:cs="Arial"/>
          <w:sz w:val="20"/>
          <w:szCs w:val="20"/>
          <w:lang w:val="it-IT"/>
        </w:rPr>
        <w:t>Anche sul fronte della trasparenza e dell’accuratezza dei dati, nel 2025 si sono registrati progressi significativi: Spring GDS ha sviluppato e rilasciato lo strumento di rendicontazione delle emissioni generate, che ha permesso di creare e condividere più di 400 report sulle emissioni di CO</w:t>
      </w:r>
      <w:r w:rsidRPr="0096183F">
        <w:rPr>
          <w:rFonts w:ascii="Cambria Math" w:eastAsia="Arial" w:hAnsi="Cambria Math" w:cs="Cambria Math"/>
          <w:sz w:val="20"/>
          <w:szCs w:val="20"/>
          <w:lang w:val="it-IT"/>
        </w:rPr>
        <w:t>₂</w:t>
      </w:r>
      <w:r w:rsidRPr="0096183F">
        <w:rPr>
          <w:rFonts w:ascii="Arial" w:eastAsia="Arial" w:hAnsi="Arial" w:cs="Arial"/>
          <w:sz w:val="20"/>
          <w:szCs w:val="20"/>
          <w:lang w:val="it-IT"/>
        </w:rPr>
        <w:t>, personalizzati per cliente. In questo modo, Spring GDS offre ai clienti una visione più dettagliata delle emissioni di CO</w:t>
      </w:r>
      <w:r w:rsidRPr="0096183F">
        <w:rPr>
          <w:rFonts w:ascii="Cambria Math" w:eastAsia="Arial" w:hAnsi="Cambria Math" w:cs="Cambria Math"/>
          <w:sz w:val="20"/>
          <w:szCs w:val="20"/>
          <w:lang w:val="it-IT"/>
        </w:rPr>
        <w:t>₂</w:t>
      </w:r>
      <w:r w:rsidRPr="0096183F">
        <w:rPr>
          <w:rFonts w:ascii="Arial" w:eastAsia="Arial" w:hAnsi="Arial" w:cs="Arial"/>
          <w:sz w:val="20"/>
          <w:szCs w:val="20"/>
          <w:lang w:val="it-IT"/>
        </w:rPr>
        <w:t xml:space="preserve"> generate dalle proprie spedizioni cross</w:t>
      </w:r>
      <w:r w:rsidRPr="0096183F">
        <w:rPr>
          <w:rFonts w:ascii="Cambria Math" w:eastAsia="Arial" w:hAnsi="Cambria Math" w:cs="Cambria Math"/>
          <w:sz w:val="20"/>
          <w:szCs w:val="20"/>
          <w:lang w:val="it-IT"/>
        </w:rPr>
        <w:t>‑</w:t>
      </w:r>
      <w:proofErr w:type="spellStart"/>
      <w:r w:rsidRPr="0096183F">
        <w:rPr>
          <w:rFonts w:ascii="Arial" w:eastAsia="Arial" w:hAnsi="Arial" w:cs="Arial"/>
          <w:sz w:val="20"/>
          <w:szCs w:val="20"/>
          <w:lang w:val="it-IT"/>
        </w:rPr>
        <w:t>border</w:t>
      </w:r>
      <w:proofErr w:type="spellEnd"/>
      <w:r w:rsidRPr="0096183F">
        <w:rPr>
          <w:rFonts w:ascii="Arial" w:eastAsia="Arial" w:hAnsi="Arial" w:cs="Arial"/>
          <w:sz w:val="20"/>
          <w:szCs w:val="20"/>
          <w:lang w:val="it-IT"/>
        </w:rPr>
        <w:t xml:space="preserve">. </w:t>
      </w:r>
    </w:p>
    <w:p w14:paraId="7562E88E" w14:textId="3D2199BA" w:rsidR="00231EFE" w:rsidRPr="0096183F" w:rsidRDefault="00000000" w:rsidP="00703416">
      <w:pPr>
        <w:spacing w:before="280" w:after="280" w:line="276" w:lineRule="auto"/>
        <w:jc w:val="both"/>
        <w:rPr>
          <w:sz w:val="20"/>
          <w:szCs w:val="20"/>
          <w:lang w:val="it-IT"/>
        </w:rPr>
      </w:pPr>
      <w:r w:rsidRPr="0096183F">
        <w:rPr>
          <w:rFonts w:ascii="Arial" w:eastAsia="Arial" w:hAnsi="Arial" w:cs="Arial"/>
          <w:sz w:val="20"/>
          <w:szCs w:val="20"/>
          <w:lang w:val="it-IT"/>
        </w:rPr>
        <w:t xml:space="preserve">Secondo il report, il profilo emissivo dell’azienda rispecchia il suo </w:t>
      </w:r>
      <w:r w:rsidRPr="0096183F">
        <w:rPr>
          <w:rFonts w:ascii="Arial" w:eastAsia="Arial" w:hAnsi="Arial" w:cs="Arial"/>
          <w:b/>
          <w:bCs/>
          <w:sz w:val="20"/>
          <w:szCs w:val="20"/>
          <w:lang w:val="it-IT"/>
        </w:rPr>
        <w:t>modello logistico asset-light</w:t>
      </w:r>
      <w:r w:rsidRPr="0096183F">
        <w:rPr>
          <w:rFonts w:ascii="Arial" w:eastAsia="Arial" w:hAnsi="Arial" w:cs="Arial"/>
          <w:sz w:val="20"/>
          <w:szCs w:val="20"/>
          <w:lang w:val="it-IT"/>
        </w:rPr>
        <w:t>: circa il 75% delle emissioni proviene infatti dalle attività di trasporto affidate a partner esterni, su rete stradale e aerea.</w:t>
      </w:r>
    </w:p>
    <w:p w14:paraId="6E807A5B" w14:textId="77777777" w:rsidR="00231EFE" w:rsidRPr="0096183F" w:rsidRDefault="00000000" w:rsidP="00703416">
      <w:pPr>
        <w:spacing w:before="280" w:after="280" w:line="276" w:lineRule="auto"/>
        <w:jc w:val="both"/>
        <w:rPr>
          <w:sz w:val="20"/>
          <w:szCs w:val="20"/>
          <w:lang w:val="it-IT"/>
        </w:rPr>
      </w:pPr>
      <w:r w:rsidRPr="0096183F">
        <w:rPr>
          <w:rFonts w:ascii="Arial" w:eastAsia="Arial" w:hAnsi="Arial" w:cs="Arial"/>
          <w:sz w:val="20"/>
          <w:szCs w:val="20"/>
          <w:lang w:val="it-IT"/>
        </w:rPr>
        <w:t>Spring GDS contribuisce all’</w:t>
      </w:r>
      <w:r w:rsidRPr="0096183F">
        <w:rPr>
          <w:rFonts w:ascii="Arial" w:eastAsia="Arial" w:hAnsi="Arial" w:cs="Arial"/>
          <w:b/>
          <w:bCs/>
          <w:sz w:val="20"/>
          <w:szCs w:val="20"/>
          <w:lang w:val="it-IT"/>
        </w:rPr>
        <w:t xml:space="preserve">obiettivo Net Zero 2040 del Gruppo </w:t>
      </w:r>
      <w:proofErr w:type="spellStart"/>
      <w:r w:rsidRPr="0096183F">
        <w:rPr>
          <w:rFonts w:ascii="Arial" w:eastAsia="Arial" w:hAnsi="Arial" w:cs="Arial"/>
          <w:b/>
          <w:bCs/>
          <w:sz w:val="20"/>
          <w:szCs w:val="20"/>
          <w:lang w:val="it-IT"/>
        </w:rPr>
        <w:t>PostNL</w:t>
      </w:r>
      <w:proofErr w:type="spellEnd"/>
      <w:r w:rsidRPr="0096183F">
        <w:rPr>
          <w:rFonts w:ascii="Arial" w:eastAsia="Arial" w:hAnsi="Arial" w:cs="Arial"/>
          <w:b/>
          <w:bCs/>
          <w:sz w:val="20"/>
          <w:szCs w:val="20"/>
          <w:lang w:val="it-IT"/>
        </w:rPr>
        <w:t xml:space="preserve">, validato dalla Science </w:t>
      </w:r>
      <w:proofErr w:type="spellStart"/>
      <w:r w:rsidRPr="0096183F">
        <w:rPr>
          <w:rFonts w:ascii="Arial" w:eastAsia="Arial" w:hAnsi="Arial" w:cs="Arial"/>
          <w:b/>
          <w:bCs/>
          <w:sz w:val="20"/>
          <w:szCs w:val="20"/>
          <w:lang w:val="it-IT"/>
        </w:rPr>
        <w:t>Based</w:t>
      </w:r>
      <w:proofErr w:type="spellEnd"/>
      <w:r w:rsidRPr="0096183F">
        <w:rPr>
          <w:rFonts w:ascii="Arial" w:eastAsia="Arial" w:hAnsi="Arial" w:cs="Arial"/>
          <w:b/>
          <w:bCs/>
          <w:sz w:val="20"/>
          <w:szCs w:val="20"/>
          <w:lang w:val="it-IT"/>
        </w:rPr>
        <w:t xml:space="preserve"> Targets </w:t>
      </w:r>
      <w:proofErr w:type="spellStart"/>
      <w:r w:rsidRPr="0096183F">
        <w:rPr>
          <w:rFonts w:ascii="Arial" w:eastAsia="Arial" w:hAnsi="Arial" w:cs="Arial"/>
          <w:b/>
          <w:bCs/>
          <w:sz w:val="20"/>
          <w:szCs w:val="20"/>
          <w:lang w:val="it-IT"/>
        </w:rPr>
        <w:t>initiative</w:t>
      </w:r>
      <w:proofErr w:type="spellEnd"/>
      <w:r w:rsidRPr="0096183F">
        <w:rPr>
          <w:rFonts w:ascii="Arial" w:eastAsia="Arial" w:hAnsi="Arial" w:cs="Arial"/>
          <w:b/>
          <w:bCs/>
          <w:sz w:val="20"/>
          <w:szCs w:val="20"/>
          <w:lang w:val="it-IT"/>
        </w:rPr>
        <w:t xml:space="preserve"> (</w:t>
      </w:r>
      <w:proofErr w:type="spellStart"/>
      <w:r w:rsidRPr="0096183F">
        <w:rPr>
          <w:rFonts w:ascii="Arial" w:eastAsia="Arial" w:hAnsi="Arial" w:cs="Arial"/>
          <w:b/>
          <w:bCs/>
          <w:sz w:val="20"/>
          <w:szCs w:val="20"/>
          <w:lang w:val="it-IT"/>
        </w:rPr>
        <w:t>SBTi</w:t>
      </w:r>
      <w:proofErr w:type="spellEnd"/>
      <w:r w:rsidRPr="0096183F">
        <w:rPr>
          <w:rFonts w:ascii="Arial" w:eastAsia="Arial" w:hAnsi="Arial" w:cs="Arial"/>
          <w:sz w:val="20"/>
          <w:szCs w:val="20"/>
          <w:lang w:val="it-IT"/>
        </w:rPr>
        <w:t>). Il piano prevede la riduzione del 90% delle emissioni Scope 1 e 2 entro il 2030 e il taglio del 45% delle emissioni Scope 3 entro il 2030, rispetto all’anno base 2021. In questo quadro, Spring GDS allinea le proprie azioni di decarbonizzazione alla strategia del Gruppo.</w:t>
      </w:r>
    </w:p>
    <w:p w14:paraId="51E2EF1E" w14:textId="77777777" w:rsidR="00231EFE" w:rsidRPr="0096183F" w:rsidRDefault="00000000" w:rsidP="00703416">
      <w:pPr>
        <w:spacing w:before="280" w:after="280" w:line="276" w:lineRule="auto"/>
        <w:jc w:val="both"/>
        <w:rPr>
          <w:sz w:val="20"/>
          <w:szCs w:val="20"/>
          <w:lang w:val="it-IT"/>
        </w:rPr>
      </w:pPr>
      <w:r w:rsidRPr="0096183F">
        <w:rPr>
          <w:rFonts w:ascii="Arial" w:eastAsia="Arial" w:hAnsi="Arial" w:cs="Arial"/>
          <w:sz w:val="20"/>
          <w:szCs w:val="20"/>
          <w:lang w:val="it-IT"/>
        </w:rPr>
        <w:lastRenderedPageBreak/>
        <w:t xml:space="preserve">Il report illustra anche iniziative per aumentare la circolarità e l’efficienza operativa, tra cui l’introduzione di oltre </w:t>
      </w:r>
      <w:r w:rsidRPr="0096183F">
        <w:rPr>
          <w:rFonts w:ascii="Arial" w:eastAsia="Arial" w:hAnsi="Arial" w:cs="Arial"/>
          <w:b/>
          <w:bCs/>
          <w:sz w:val="20"/>
          <w:szCs w:val="20"/>
          <w:lang w:val="it-IT"/>
        </w:rPr>
        <w:t xml:space="preserve">8.000 pallet box riutilizzabili </w:t>
      </w:r>
      <w:r w:rsidRPr="0096183F">
        <w:rPr>
          <w:rFonts w:ascii="Arial" w:eastAsia="Arial" w:hAnsi="Arial" w:cs="Arial"/>
          <w:sz w:val="20"/>
          <w:szCs w:val="20"/>
          <w:lang w:val="it-IT"/>
        </w:rPr>
        <w:t>nella rete dell’azienda, in sostituzione degli imballaggi in cartone monouso, con una conseguente riduzione dei rifiuti.</w:t>
      </w:r>
    </w:p>
    <w:p w14:paraId="09FC27B2" w14:textId="5A8AF0A3" w:rsidR="00231EFE" w:rsidRPr="0096183F" w:rsidRDefault="00000000" w:rsidP="00703416">
      <w:pPr>
        <w:spacing w:line="276" w:lineRule="auto"/>
        <w:jc w:val="both"/>
        <w:rPr>
          <w:sz w:val="20"/>
          <w:szCs w:val="20"/>
          <w:lang w:val="it-IT"/>
        </w:rPr>
      </w:pPr>
      <w:r w:rsidRPr="0096183F">
        <w:rPr>
          <w:rFonts w:ascii="Arial" w:eastAsia="Arial" w:hAnsi="Arial" w:cs="Arial"/>
          <w:sz w:val="20"/>
          <w:szCs w:val="20"/>
          <w:lang w:val="it-IT"/>
        </w:rPr>
        <w:t>«</w:t>
      </w:r>
      <w:r w:rsidRPr="0096183F">
        <w:rPr>
          <w:rFonts w:ascii="Arial" w:eastAsia="Arial" w:hAnsi="Arial" w:cs="Arial"/>
          <w:i/>
          <w:iCs/>
          <w:sz w:val="20"/>
          <w:szCs w:val="20"/>
          <w:lang w:val="it-IT"/>
        </w:rPr>
        <w:t>La sostenibilità nella logistica non può essere risolta da una sola azienda</w:t>
      </w:r>
      <w:r w:rsidRPr="0096183F">
        <w:rPr>
          <w:rFonts w:ascii="Arial" w:eastAsia="Arial" w:hAnsi="Arial" w:cs="Arial"/>
          <w:sz w:val="20"/>
          <w:szCs w:val="20"/>
          <w:lang w:val="it-IT"/>
        </w:rPr>
        <w:t xml:space="preserve">», ha dichiarato </w:t>
      </w:r>
      <w:r w:rsidRPr="0096183F">
        <w:rPr>
          <w:rFonts w:ascii="Arial" w:eastAsia="Arial" w:hAnsi="Arial" w:cs="Arial"/>
          <w:b/>
          <w:bCs/>
          <w:sz w:val="20"/>
          <w:szCs w:val="20"/>
          <w:lang w:val="it-IT"/>
        </w:rPr>
        <w:t xml:space="preserve">Gabriele Bavera, </w:t>
      </w:r>
      <w:proofErr w:type="spellStart"/>
      <w:r w:rsidRPr="0096183F">
        <w:rPr>
          <w:rFonts w:ascii="Arial" w:eastAsia="Arial" w:hAnsi="Arial" w:cs="Arial"/>
          <w:b/>
          <w:bCs/>
          <w:sz w:val="20"/>
          <w:szCs w:val="20"/>
          <w:lang w:val="it-IT"/>
        </w:rPr>
        <w:t>Managing</w:t>
      </w:r>
      <w:proofErr w:type="spellEnd"/>
      <w:r w:rsidRPr="0096183F">
        <w:rPr>
          <w:rFonts w:ascii="Arial" w:eastAsia="Arial" w:hAnsi="Arial" w:cs="Arial"/>
          <w:b/>
          <w:bCs/>
          <w:sz w:val="20"/>
          <w:szCs w:val="20"/>
          <w:lang w:val="it-IT"/>
        </w:rPr>
        <w:t xml:space="preserve"> Director di Spring GDS</w:t>
      </w:r>
      <w:r w:rsidRPr="0096183F">
        <w:rPr>
          <w:rFonts w:ascii="Arial" w:eastAsia="Arial" w:hAnsi="Arial" w:cs="Arial"/>
          <w:sz w:val="20"/>
          <w:szCs w:val="20"/>
          <w:lang w:val="it-IT"/>
        </w:rPr>
        <w:t>. «</w:t>
      </w:r>
      <w:r w:rsidRPr="0096183F">
        <w:rPr>
          <w:rFonts w:ascii="Arial" w:eastAsia="Arial" w:hAnsi="Arial" w:cs="Arial"/>
          <w:i/>
          <w:iCs/>
          <w:sz w:val="20"/>
          <w:szCs w:val="20"/>
          <w:lang w:val="it-IT"/>
        </w:rPr>
        <w:t>Il nostro ruolo è influenzare l’ecosistema che ci circonda, dai partner</w:t>
      </w:r>
      <w:r w:rsidR="0096183F" w:rsidRPr="0096183F">
        <w:rPr>
          <w:rFonts w:ascii="Arial" w:eastAsia="Arial" w:hAnsi="Arial" w:cs="Arial"/>
          <w:i/>
          <w:iCs/>
          <w:sz w:val="20"/>
          <w:szCs w:val="20"/>
          <w:lang w:val="it-IT"/>
        </w:rPr>
        <w:t xml:space="preserve"> di servizi</w:t>
      </w:r>
      <w:r w:rsidRPr="0096183F">
        <w:rPr>
          <w:rFonts w:ascii="Arial" w:eastAsia="Arial" w:hAnsi="Arial" w:cs="Arial"/>
          <w:i/>
          <w:iCs/>
          <w:sz w:val="20"/>
          <w:szCs w:val="20"/>
          <w:lang w:val="it-IT"/>
        </w:rPr>
        <w:t xml:space="preserve"> di trasporto ai clienti, e accelerare la transizione verso una logistica a minori emissioni di carbonio. Ciò che stiamo osservando ora è un passaggio da iniziative isolate a una gestione strutturata della decarbonizzazione lungo la catena del valore. Questa collaborazione sarà essenziale se il nostro settore vuole arrivare a una logistica net zero nei decenni a venire</w:t>
      </w:r>
      <w:r w:rsidRPr="0096183F">
        <w:rPr>
          <w:rFonts w:ascii="Arial" w:eastAsia="Arial" w:hAnsi="Arial" w:cs="Arial"/>
          <w:sz w:val="20"/>
          <w:szCs w:val="20"/>
          <w:lang w:val="it-IT"/>
        </w:rPr>
        <w:t>».</w:t>
      </w:r>
    </w:p>
    <w:p w14:paraId="298B8A51" w14:textId="77777777" w:rsidR="00231EFE" w:rsidRPr="0096183F" w:rsidRDefault="00231EFE" w:rsidP="00703416">
      <w:pPr>
        <w:spacing w:line="276" w:lineRule="auto"/>
        <w:jc w:val="both"/>
        <w:rPr>
          <w:rFonts w:ascii="Arial" w:eastAsia="Arial" w:hAnsi="Arial" w:cs="Arial"/>
          <w:b/>
          <w:bCs/>
          <w:sz w:val="20"/>
          <w:szCs w:val="20"/>
          <w:lang w:val="it-IT"/>
        </w:rPr>
      </w:pPr>
    </w:p>
    <w:p w14:paraId="034118B1" w14:textId="77777777" w:rsidR="009D6E5E" w:rsidRDefault="009D6E5E" w:rsidP="00703416">
      <w:pPr>
        <w:jc w:val="both"/>
        <w:rPr>
          <w:rFonts w:ascii="Arial" w:eastAsia="Arial" w:hAnsi="Arial" w:cs="Arial"/>
          <w:b/>
          <w:bCs/>
          <w:sz w:val="18"/>
          <w:szCs w:val="18"/>
          <w:lang w:val="it-IT"/>
        </w:rPr>
      </w:pPr>
    </w:p>
    <w:p w14:paraId="6946172C" w14:textId="33634B00" w:rsidR="00231EFE" w:rsidRPr="0096183F" w:rsidRDefault="00000000" w:rsidP="00703416">
      <w:pPr>
        <w:jc w:val="both"/>
        <w:rPr>
          <w:sz w:val="18"/>
          <w:szCs w:val="18"/>
          <w:lang w:val="it-IT"/>
        </w:rPr>
      </w:pPr>
      <w:r w:rsidRPr="0096183F">
        <w:rPr>
          <w:rFonts w:ascii="Arial" w:eastAsia="Arial" w:hAnsi="Arial" w:cs="Arial"/>
          <w:b/>
          <w:bCs/>
          <w:sz w:val="18"/>
          <w:szCs w:val="18"/>
          <w:lang w:val="it-IT"/>
        </w:rPr>
        <w:t>A proposito di Spring GDS</w:t>
      </w:r>
      <w:r w:rsidRPr="0096183F">
        <w:rPr>
          <w:rFonts w:ascii="Arial" w:eastAsia="Arial" w:hAnsi="Arial" w:cs="Arial"/>
          <w:sz w:val="18"/>
          <w:szCs w:val="18"/>
          <w:lang w:val="it-IT"/>
        </w:rPr>
        <w:t> </w:t>
      </w:r>
    </w:p>
    <w:p w14:paraId="40F3D358" w14:textId="77777777" w:rsidR="00231EFE" w:rsidRPr="0096183F" w:rsidRDefault="00000000" w:rsidP="00703416">
      <w:pPr>
        <w:jc w:val="both"/>
        <w:rPr>
          <w:sz w:val="18"/>
          <w:szCs w:val="18"/>
          <w:lang w:val="it-IT"/>
        </w:rPr>
      </w:pPr>
      <w:r w:rsidRPr="0096183F">
        <w:rPr>
          <w:rFonts w:ascii="Arial" w:eastAsia="Arial" w:hAnsi="Arial" w:cs="Arial"/>
          <w:sz w:val="18"/>
          <w:szCs w:val="18"/>
          <w:lang w:val="it-IT"/>
        </w:rPr>
        <w:t>Spring GDS, parte del gruppo </w:t>
      </w:r>
      <w:proofErr w:type="spellStart"/>
      <w:r w:rsidRPr="0096183F">
        <w:rPr>
          <w:rFonts w:ascii="Arial" w:eastAsia="Arial" w:hAnsi="Arial" w:cs="Arial"/>
          <w:sz w:val="18"/>
          <w:szCs w:val="18"/>
          <w:lang w:val="it-IT"/>
        </w:rPr>
        <w:t>PostNL</w:t>
      </w:r>
      <w:proofErr w:type="spellEnd"/>
      <w:r w:rsidRPr="0096183F">
        <w:rPr>
          <w:rFonts w:ascii="Arial" w:eastAsia="Arial" w:hAnsi="Arial" w:cs="Arial"/>
          <w:sz w:val="18"/>
          <w:szCs w:val="18"/>
          <w:lang w:val="it-IT"/>
        </w:rPr>
        <w:t>, è uno dei principali operatori di servizi logistici, specializzato in soluzioni per il commercio elettronico e spedizioni internazionali, con oltre 20 hub operativi distribuiti su tre continenti. Spring GDS, divisione del gruppo POSTNL, collabora con più di 230 partner logistici internazionali, permettendo ai </w:t>
      </w:r>
      <w:proofErr w:type="spellStart"/>
      <w:r w:rsidRPr="0096183F">
        <w:rPr>
          <w:rFonts w:ascii="Arial" w:eastAsia="Arial" w:hAnsi="Arial" w:cs="Arial"/>
          <w:sz w:val="18"/>
          <w:szCs w:val="18"/>
          <w:lang w:val="it-IT"/>
        </w:rPr>
        <w:t>merchant</w:t>
      </w:r>
      <w:proofErr w:type="spellEnd"/>
      <w:r w:rsidRPr="0096183F">
        <w:rPr>
          <w:rFonts w:ascii="Arial" w:eastAsia="Arial" w:hAnsi="Arial" w:cs="Arial"/>
          <w:sz w:val="18"/>
          <w:szCs w:val="18"/>
          <w:lang w:val="it-IT"/>
        </w:rPr>
        <w:t> e-commerce di raggiungere 190 destinazioni in tutto il mondo. </w:t>
      </w:r>
    </w:p>
    <w:p w14:paraId="64FFA112" w14:textId="77777777" w:rsidR="00231EFE" w:rsidRPr="0096183F" w:rsidRDefault="00000000" w:rsidP="00703416">
      <w:pPr>
        <w:jc w:val="both"/>
        <w:rPr>
          <w:sz w:val="18"/>
          <w:szCs w:val="18"/>
          <w:lang w:val="it-IT"/>
        </w:rPr>
      </w:pPr>
      <w:r w:rsidRPr="0096183F">
        <w:rPr>
          <w:rFonts w:ascii="Arial" w:eastAsia="Arial" w:hAnsi="Arial" w:cs="Arial"/>
          <w:sz w:val="18"/>
          <w:szCs w:val="18"/>
          <w:lang w:val="it-IT"/>
        </w:rPr>
        <w:t>Sul fronte della sostenibilità, Spring GDS si impegna ad utilizzare il carburante HVO100 su tutta la rete stradale europea: un diesel rinnovabile introdotto dal 2024 che consente di ridurre le emissioni di CO</w:t>
      </w:r>
      <w:r w:rsidRPr="0096183F">
        <w:rPr>
          <w:rFonts w:ascii="Cambria Math" w:eastAsia="Cambria Math" w:hAnsi="Cambria Math" w:cs="Cambria Math"/>
          <w:sz w:val="18"/>
          <w:szCs w:val="18"/>
          <w:lang w:val="it-IT"/>
        </w:rPr>
        <w:t>₂</w:t>
      </w:r>
      <w:r w:rsidRPr="0096183F">
        <w:rPr>
          <w:rFonts w:ascii="Arial" w:eastAsia="Arial" w:hAnsi="Arial" w:cs="Arial"/>
          <w:sz w:val="18"/>
          <w:szCs w:val="18"/>
          <w:lang w:val="it-IT"/>
        </w:rPr>
        <w:t> fino al 90%. Inoltre, l’azienda impiega SAF (</w:t>
      </w:r>
      <w:proofErr w:type="spellStart"/>
      <w:r w:rsidRPr="0096183F">
        <w:rPr>
          <w:rFonts w:ascii="Arial" w:eastAsia="Arial" w:hAnsi="Arial" w:cs="Arial"/>
          <w:sz w:val="18"/>
          <w:szCs w:val="18"/>
          <w:lang w:val="it-IT"/>
        </w:rPr>
        <w:t>Sustainable</w:t>
      </w:r>
      <w:proofErr w:type="spellEnd"/>
      <w:r w:rsidRPr="0096183F">
        <w:rPr>
          <w:rFonts w:ascii="Arial" w:eastAsia="Arial" w:hAnsi="Arial" w:cs="Arial"/>
          <w:sz w:val="18"/>
          <w:szCs w:val="18"/>
          <w:lang w:val="it-IT"/>
        </w:rPr>
        <w:t> Aviation </w:t>
      </w:r>
      <w:proofErr w:type="spellStart"/>
      <w:r w:rsidRPr="0096183F">
        <w:rPr>
          <w:rFonts w:ascii="Arial" w:eastAsia="Arial" w:hAnsi="Arial" w:cs="Arial"/>
          <w:sz w:val="18"/>
          <w:szCs w:val="18"/>
          <w:lang w:val="it-IT"/>
        </w:rPr>
        <w:t>Fuel</w:t>
      </w:r>
      <w:proofErr w:type="spellEnd"/>
      <w:r w:rsidRPr="0096183F">
        <w:rPr>
          <w:rFonts w:ascii="Arial" w:eastAsia="Arial" w:hAnsi="Arial" w:cs="Arial"/>
          <w:sz w:val="18"/>
          <w:szCs w:val="18"/>
          <w:lang w:val="it-IT"/>
        </w:rPr>
        <w:t>) per abbattere le emissioni di CO</w:t>
      </w:r>
      <w:r w:rsidRPr="0096183F">
        <w:rPr>
          <w:rFonts w:ascii="Cambria Math" w:eastAsia="Cambria Math" w:hAnsi="Cambria Math" w:cs="Cambria Math"/>
          <w:sz w:val="18"/>
          <w:szCs w:val="18"/>
          <w:lang w:val="it-IT"/>
        </w:rPr>
        <w:t>₂</w:t>
      </w:r>
      <w:r w:rsidRPr="0096183F">
        <w:rPr>
          <w:rFonts w:ascii="Arial" w:eastAsia="Arial" w:hAnsi="Arial" w:cs="Arial"/>
          <w:sz w:val="18"/>
          <w:szCs w:val="18"/>
          <w:lang w:val="it-IT"/>
        </w:rPr>
        <w:t> del trasporto aereo fino all’80% durante l’intero ciclo di vita. Queste iniziative aiutano direttamente i clienti a ridurre le emissioni Scope 3 e rafforzano l’impegno di Spring GDS verso soluzioni di spedizione internazionale sempre più responsabili dal punto di vista ambientale. </w:t>
      </w:r>
    </w:p>
    <w:p w14:paraId="21F764CB" w14:textId="77777777" w:rsidR="0096183F" w:rsidRDefault="0096183F" w:rsidP="00703416">
      <w:pPr>
        <w:jc w:val="both"/>
        <w:rPr>
          <w:rFonts w:ascii="Arial" w:eastAsia="Arial" w:hAnsi="Arial" w:cs="Arial"/>
          <w:b/>
          <w:bCs/>
          <w:sz w:val="18"/>
          <w:szCs w:val="18"/>
        </w:rPr>
      </w:pPr>
    </w:p>
    <w:p w14:paraId="67CD555C" w14:textId="4F4EF420" w:rsidR="00231EFE" w:rsidRDefault="00000000" w:rsidP="00703416">
      <w:pPr>
        <w:jc w:val="both"/>
        <w:rPr>
          <w:sz w:val="18"/>
          <w:szCs w:val="18"/>
        </w:rPr>
      </w:pPr>
      <w:proofErr w:type="spellStart"/>
      <w:r>
        <w:rPr>
          <w:rFonts w:ascii="Arial" w:eastAsia="Arial" w:hAnsi="Arial" w:cs="Arial"/>
          <w:b/>
          <w:bCs/>
          <w:sz w:val="18"/>
          <w:szCs w:val="18"/>
        </w:rPr>
        <w:t>Contatti</w:t>
      </w:r>
      <w:proofErr w:type="spellEnd"/>
      <w:r>
        <w:rPr>
          <w:rFonts w:ascii="Arial" w:eastAsia="Arial" w:hAnsi="Arial" w:cs="Arial"/>
          <w:sz w:val="18"/>
          <w:szCs w:val="18"/>
        </w:rPr>
        <w:t>  </w:t>
      </w:r>
    </w:p>
    <w:p w14:paraId="6EA64534" w14:textId="7BD42EA6" w:rsidR="00231EFE" w:rsidRDefault="00000000" w:rsidP="00703416">
      <w:pPr>
        <w:jc w:val="both"/>
        <w:rPr>
          <w:sz w:val="18"/>
          <w:szCs w:val="18"/>
        </w:rPr>
      </w:pPr>
      <w:r>
        <w:rPr>
          <w:rFonts w:ascii="Arial" w:eastAsia="Arial" w:hAnsi="Arial" w:cs="Arial"/>
          <w:b/>
          <w:bCs/>
          <w:sz w:val="18"/>
          <w:szCs w:val="18"/>
        </w:rPr>
        <w:t>TEAM LEWIS</w:t>
      </w:r>
      <w:r>
        <w:rPr>
          <w:rFonts w:ascii="Arial" w:eastAsia="Arial" w:hAnsi="Arial" w:cs="Arial"/>
          <w:sz w:val="18"/>
          <w:szCs w:val="18"/>
        </w:rPr>
        <w:t>  </w:t>
      </w:r>
    </w:p>
    <w:p w14:paraId="7BB9C649" w14:textId="77777777" w:rsidR="00231EFE" w:rsidRDefault="00000000" w:rsidP="00703416">
      <w:pPr>
        <w:jc w:val="both"/>
        <w:rPr>
          <w:sz w:val="18"/>
          <w:szCs w:val="18"/>
        </w:rPr>
      </w:pPr>
      <w:r>
        <w:rPr>
          <w:rFonts w:ascii="Arial" w:eastAsia="Arial" w:hAnsi="Arial" w:cs="Arial"/>
          <w:sz w:val="18"/>
          <w:szCs w:val="18"/>
        </w:rPr>
        <w:t>Alessandro Zambetti / Sofia Leoni  </w:t>
      </w:r>
    </w:p>
    <w:p w14:paraId="20F8DC07" w14:textId="77777777" w:rsidR="00231EFE" w:rsidRDefault="00231EFE" w:rsidP="00703416">
      <w:pPr>
        <w:jc w:val="both"/>
      </w:pPr>
      <w:hyperlink r:id="rId7" w:tgtFrame="_blank" w:history="1">
        <w:r>
          <w:rPr>
            <w:rFonts w:ascii="Arial" w:eastAsia="Arial" w:hAnsi="Arial" w:cs="Arial"/>
            <w:color w:val="0000FF"/>
            <w:sz w:val="18"/>
            <w:szCs w:val="18"/>
            <w:u w:val="single" w:color="0000FF"/>
          </w:rPr>
          <w:t>springgdsitaly@teamlewis.com</w:t>
        </w:r>
      </w:hyperlink>
      <w:r w:rsidR="00000000">
        <w:rPr>
          <w:rFonts w:ascii="Arial" w:eastAsia="Arial" w:hAnsi="Arial" w:cs="Arial"/>
          <w:sz w:val="18"/>
          <w:szCs w:val="18"/>
        </w:rPr>
        <w:t>   </w:t>
      </w:r>
    </w:p>
    <w:p w14:paraId="061DB59D" w14:textId="77777777" w:rsidR="00231EFE" w:rsidRDefault="00000000" w:rsidP="00703416">
      <w:pPr>
        <w:jc w:val="both"/>
        <w:rPr>
          <w:sz w:val="18"/>
          <w:szCs w:val="18"/>
        </w:rPr>
      </w:pPr>
      <w:r>
        <w:rPr>
          <w:rFonts w:ascii="Arial" w:eastAsia="Arial" w:hAnsi="Arial" w:cs="Arial"/>
          <w:sz w:val="18"/>
          <w:szCs w:val="18"/>
        </w:rPr>
        <w:t>Cel: +39 3389241387 </w:t>
      </w:r>
    </w:p>
    <w:p w14:paraId="3CCCFCEF" w14:textId="77777777" w:rsidR="00231EFE" w:rsidRDefault="00000000">
      <w:pPr>
        <w:jc w:val="both"/>
        <w:rPr>
          <w:sz w:val="18"/>
          <w:szCs w:val="18"/>
        </w:rPr>
      </w:pPr>
      <w:r>
        <w:rPr>
          <w:rFonts w:ascii="Arial" w:eastAsia="Arial" w:hAnsi="Arial" w:cs="Arial"/>
          <w:sz w:val="18"/>
          <w:szCs w:val="18"/>
        </w:rPr>
        <w:t>  </w:t>
      </w:r>
    </w:p>
    <w:p w14:paraId="1F103FCF" w14:textId="77777777" w:rsidR="00231EFE" w:rsidRDefault="00231EFE">
      <w:pPr>
        <w:spacing w:line="276" w:lineRule="auto"/>
        <w:jc w:val="both"/>
        <w:rPr>
          <w:rFonts w:ascii="Arial" w:eastAsia="Arial" w:hAnsi="Arial" w:cs="Arial"/>
          <w:b/>
          <w:bCs/>
          <w:sz w:val="20"/>
          <w:szCs w:val="20"/>
        </w:rPr>
      </w:pPr>
    </w:p>
    <w:sectPr w:rsidR="00231EFE">
      <w:headerReference w:type="default" r:id="rId8"/>
      <w:pgSz w:w="11906" w:h="16838"/>
      <w:pgMar w:top="1417"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9475" w14:textId="77777777" w:rsidR="00C95BC2" w:rsidRDefault="00C95BC2">
      <w:r>
        <w:separator/>
      </w:r>
    </w:p>
  </w:endnote>
  <w:endnote w:type="continuationSeparator" w:id="0">
    <w:p w14:paraId="551208A8" w14:textId="77777777" w:rsidR="00C95BC2" w:rsidRDefault="00C9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1C888" w14:textId="77777777" w:rsidR="00C95BC2" w:rsidRDefault="00C95BC2">
      <w:r>
        <w:separator/>
      </w:r>
    </w:p>
  </w:footnote>
  <w:footnote w:type="continuationSeparator" w:id="0">
    <w:p w14:paraId="5C146EF4" w14:textId="77777777" w:rsidR="00C95BC2" w:rsidRDefault="00C95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7F50" w14:textId="77777777" w:rsidR="00231EFE" w:rsidRDefault="00000000">
    <w:pPr>
      <w:jc w:val="right"/>
    </w:pPr>
    <w:r>
      <w:rPr>
        <w:noProof/>
      </w:rPr>
      <w:drawing>
        <wp:inline distT="0" distB="0" distL="0" distR="0" wp14:anchorId="37CD461B" wp14:editId="590741AA">
          <wp:extent cx="495300" cy="762000"/>
          <wp:effectExtent l="0" t="0" r="0" b="0"/>
          <wp:docPr id="100001" name="Immagine 100001" descr="Immagine che contiene schermata, Policromia, Elementi grafici, sfocatur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495300" cy="76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64463646">
      <w:start w:val="1"/>
      <w:numFmt w:val="bullet"/>
      <w:lvlText w:val=""/>
      <w:lvlJc w:val="left"/>
      <w:pPr>
        <w:ind w:left="720" w:hanging="360"/>
      </w:pPr>
      <w:rPr>
        <w:rFonts w:ascii="Symbol" w:hAnsi="Symbol"/>
        <w:b w:val="0"/>
        <w:bCs w:val="0"/>
      </w:rPr>
    </w:lvl>
    <w:lvl w:ilvl="1" w:tplc="7B8ABC7E">
      <w:start w:val="1"/>
      <w:numFmt w:val="bullet"/>
      <w:lvlText w:val="o"/>
      <w:lvlJc w:val="left"/>
      <w:pPr>
        <w:tabs>
          <w:tab w:val="num" w:pos="1440"/>
        </w:tabs>
        <w:ind w:left="1440" w:hanging="360"/>
      </w:pPr>
      <w:rPr>
        <w:rFonts w:ascii="Courier New" w:hAnsi="Courier New"/>
      </w:rPr>
    </w:lvl>
    <w:lvl w:ilvl="2" w:tplc="BAC807D6">
      <w:start w:val="1"/>
      <w:numFmt w:val="bullet"/>
      <w:lvlText w:val=""/>
      <w:lvlJc w:val="left"/>
      <w:pPr>
        <w:tabs>
          <w:tab w:val="num" w:pos="2160"/>
        </w:tabs>
        <w:ind w:left="2160" w:hanging="360"/>
      </w:pPr>
      <w:rPr>
        <w:rFonts w:ascii="Wingdings" w:hAnsi="Wingdings"/>
      </w:rPr>
    </w:lvl>
    <w:lvl w:ilvl="3" w:tplc="1930C380">
      <w:start w:val="1"/>
      <w:numFmt w:val="bullet"/>
      <w:lvlText w:val=""/>
      <w:lvlJc w:val="left"/>
      <w:pPr>
        <w:tabs>
          <w:tab w:val="num" w:pos="2880"/>
        </w:tabs>
        <w:ind w:left="2880" w:hanging="360"/>
      </w:pPr>
      <w:rPr>
        <w:rFonts w:ascii="Symbol" w:hAnsi="Symbol"/>
      </w:rPr>
    </w:lvl>
    <w:lvl w:ilvl="4" w:tplc="776A911E">
      <w:start w:val="1"/>
      <w:numFmt w:val="bullet"/>
      <w:lvlText w:val="o"/>
      <w:lvlJc w:val="left"/>
      <w:pPr>
        <w:tabs>
          <w:tab w:val="num" w:pos="3600"/>
        </w:tabs>
        <w:ind w:left="3600" w:hanging="360"/>
      </w:pPr>
      <w:rPr>
        <w:rFonts w:ascii="Courier New" w:hAnsi="Courier New"/>
      </w:rPr>
    </w:lvl>
    <w:lvl w:ilvl="5" w:tplc="CC2C33FC">
      <w:start w:val="1"/>
      <w:numFmt w:val="bullet"/>
      <w:lvlText w:val=""/>
      <w:lvlJc w:val="left"/>
      <w:pPr>
        <w:tabs>
          <w:tab w:val="num" w:pos="4320"/>
        </w:tabs>
        <w:ind w:left="4320" w:hanging="360"/>
      </w:pPr>
      <w:rPr>
        <w:rFonts w:ascii="Wingdings" w:hAnsi="Wingdings"/>
      </w:rPr>
    </w:lvl>
    <w:lvl w:ilvl="6" w:tplc="BDF2864C">
      <w:start w:val="1"/>
      <w:numFmt w:val="bullet"/>
      <w:lvlText w:val=""/>
      <w:lvlJc w:val="left"/>
      <w:pPr>
        <w:tabs>
          <w:tab w:val="num" w:pos="5040"/>
        </w:tabs>
        <w:ind w:left="5040" w:hanging="360"/>
      </w:pPr>
      <w:rPr>
        <w:rFonts w:ascii="Symbol" w:hAnsi="Symbol"/>
      </w:rPr>
    </w:lvl>
    <w:lvl w:ilvl="7" w:tplc="9BBAA012">
      <w:start w:val="1"/>
      <w:numFmt w:val="bullet"/>
      <w:lvlText w:val="o"/>
      <w:lvlJc w:val="left"/>
      <w:pPr>
        <w:tabs>
          <w:tab w:val="num" w:pos="5760"/>
        </w:tabs>
        <w:ind w:left="5760" w:hanging="360"/>
      </w:pPr>
      <w:rPr>
        <w:rFonts w:ascii="Courier New" w:hAnsi="Courier New"/>
      </w:rPr>
    </w:lvl>
    <w:lvl w:ilvl="8" w:tplc="7F649E3C">
      <w:start w:val="1"/>
      <w:numFmt w:val="bullet"/>
      <w:lvlText w:val=""/>
      <w:lvlJc w:val="left"/>
      <w:pPr>
        <w:tabs>
          <w:tab w:val="num" w:pos="6480"/>
        </w:tabs>
        <w:ind w:left="6480" w:hanging="360"/>
      </w:pPr>
      <w:rPr>
        <w:rFonts w:ascii="Wingdings" w:hAnsi="Wingdings"/>
      </w:rPr>
    </w:lvl>
  </w:abstractNum>
  <w:num w:numId="1" w16cid:durableId="1984235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FE"/>
    <w:rsid w:val="00096E44"/>
    <w:rsid w:val="00231EFE"/>
    <w:rsid w:val="003B553B"/>
    <w:rsid w:val="00703416"/>
    <w:rsid w:val="007A11CE"/>
    <w:rsid w:val="007E291E"/>
    <w:rsid w:val="0096183F"/>
    <w:rsid w:val="009D6E5E"/>
    <w:rsid w:val="00C95B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A2D8273"/>
  <w15:docId w15:val="{8FFA0FF2-35A0-B248-AF28-2D9C9A52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5BCE"/>
    <w:rPr>
      <w:rFonts w:ascii="Calibri" w:eastAsia="Calibri" w:hAnsi="Calibri" w:cs="Calibri"/>
      <w:sz w:val="24"/>
      <w:szCs w:val="24"/>
    </w:rPr>
  </w:style>
  <w:style w:type="paragraph" w:styleId="Titolo1">
    <w:name w:val="heading 1"/>
    <w:basedOn w:val="Normale"/>
    <w:next w:val="Normale"/>
    <w:link w:val="Titolo1Carattere"/>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Titolo2">
    <w:name w:val="heading 2"/>
    <w:basedOn w:val="Normale"/>
    <w:next w:val="Normale"/>
    <w:link w:val="Titolo2Carattere"/>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Titolo3">
    <w:name w:val="heading 3"/>
    <w:basedOn w:val="Normale"/>
    <w:next w:val="Normale"/>
    <w:link w:val="Titolo3Carattere"/>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Titolo4">
    <w:name w:val="heading 4"/>
    <w:basedOn w:val="Normale"/>
    <w:next w:val="Normale"/>
    <w:link w:val="Titolo4Carattere"/>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Titolo5">
    <w:name w:val="heading 5"/>
    <w:basedOn w:val="Normale"/>
    <w:next w:val="Normale"/>
    <w:link w:val="Titolo5Carattere"/>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Titolo6">
    <w:name w:val="heading 6"/>
    <w:basedOn w:val="Normale"/>
    <w:next w:val="Normale"/>
    <w:link w:val="Titolo6Carattere"/>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6D7A"/>
    <w:rPr>
      <w:rFonts w:ascii="Calibri Light" w:eastAsia="Times New Roman" w:hAnsi="Calibri Light" w:cs="Times New Roman"/>
      <w:color w:val="2F5496"/>
      <w:sz w:val="32"/>
      <w:szCs w:val="32"/>
    </w:rPr>
  </w:style>
  <w:style w:type="character" w:customStyle="1" w:styleId="Titolo2Carattere">
    <w:name w:val="Titolo 2 Carattere"/>
    <w:basedOn w:val="Carpredefinitoparagrafo"/>
    <w:link w:val="Titolo2"/>
    <w:uiPriority w:val="9"/>
    <w:rsid w:val="00506D7A"/>
    <w:rPr>
      <w:rFonts w:ascii="Calibri Light" w:eastAsia="Times New Roman" w:hAnsi="Calibri Light" w:cs="Times New Roman"/>
      <w:color w:val="2F5496"/>
      <w:sz w:val="26"/>
      <w:szCs w:val="26"/>
    </w:rPr>
  </w:style>
  <w:style w:type="character" w:customStyle="1" w:styleId="Titolo3Carattere">
    <w:name w:val="Titolo 3 Carattere"/>
    <w:basedOn w:val="Carpredefinitoparagrafo"/>
    <w:link w:val="Titolo3"/>
    <w:uiPriority w:val="9"/>
    <w:rsid w:val="00506D7A"/>
    <w:rPr>
      <w:rFonts w:ascii="Calibri Light" w:eastAsia="Times New Roman" w:hAnsi="Calibri Light" w:cs="Times New Roman"/>
      <w:color w:val="1F3763"/>
      <w:sz w:val="24"/>
      <w:szCs w:val="24"/>
    </w:rPr>
  </w:style>
  <w:style w:type="character" w:customStyle="1" w:styleId="Titolo4Carattere">
    <w:name w:val="Titolo 4 Carattere"/>
    <w:basedOn w:val="Carpredefinitoparagrafo"/>
    <w:link w:val="Titolo4"/>
    <w:uiPriority w:val="9"/>
    <w:rsid w:val="00506D7A"/>
    <w:rPr>
      <w:rFonts w:ascii="Calibri Light" w:eastAsia="Times New Roman" w:hAnsi="Calibri Light" w:cs="Times New Roman"/>
      <w:i/>
      <w:iCs/>
      <w:color w:val="2F5496"/>
    </w:rPr>
  </w:style>
  <w:style w:type="character" w:customStyle="1" w:styleId="Titolo5Carattere">
    <w:name w:val="Titolo 5 Carattere"/>
    <w:basedOn w:val="Carpredefinitoparagrafo"/>
    <w:link w:val="Titolo5"/>
    <w:uiPriority w:val="9"/>
    <w:rsid w:val="00506D7A"/>
    <w:rPr>
      <w:rFonts w:ascii="Calibri Light" w:eastAsia="Times New Roman" w:hAnsi="Calibri Light" w:cs="Times New Roman"/>
      <w:color w:val="2F5496"/>
    </w:rPr>
  </w:style>
  <w:style w:type="character" w:customStyle="1" w:styleId="Titolo6Carattere">
    <w:name w:val="Titolo 6 Carattere"/>
    <w:basedOn w:val="Carpredefinitoparagrafo"/>
    <w:link w:val="Titolo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pringgdsitaly@teamlewi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0bbf2ee-4281-4141-b54d-3de5dd07adf1}" enabled="1" method="Standard" siteId="{633cbf82-b979-478d-8f42-ffc892e59dc3}"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856</Words>
  <Characters>4940</Characters>
  <Application>Microsoft Office Word</Application>
  <DocSecurity>0</DocSecurity>
  <Lines>74</Lines>
  <Paragraphs>28</Paragraphs>
  <ScaleCrop>false</ScaleCrop>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Alessandro Zambetti</cp:lastModifiedBy>
  <cp:revision>7</cp:revision>
  <dcterms:created xsi:type="dcterms:W3CDTF">2026-04-01T15:55:00Z</dcterms:created>
  <dcterms:modified xsi:type="dcterms:W3CDTF">2026-04-07T09:09:00Z</dcterms:modified>
</cp:coreProperties>
</file>