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firstLine="0"/>
        <w:jc w:val="right"/>
        <w:rPr>
          <w:rFonts w:ascii="Roboto" w:cs="Roboto" w:eastAsia="Roboto" w:hAnsi="Roboto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Roboto" w:cs="Roboto" w:eastAsia="Roboto" w:hAnsi="Roboto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Warszawa, 26 lutego 2026 r. </w:t>
      </w:r>
    </w:p>
    <w:p w:rsidR="00000000" w:rsidDel="00000000" w:rsidP="00000000" w:rsidRDefault="00000000" w:rsidRPr="00000000" w14:paraId="00000004">
      <w:pPr>
        <w:ind w:left="0" w:firstLine="0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Informacja prasowa 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Nowoczesne pole walki to silna, innowacyjna i odporna gospodarka z rozwiniętymi technologiami podwójnego zastosowania. 30 marca rozpoczęła działalność Polska Izba Dual Use (PIDU</w:t>
      </w:r>
      <w:r w:rsidDel="00000000" w:rsidR="00000000" w:rsidRPr="00000000">
        <w:rPr>
          <w:b w:val="1"/>
          <w:bCs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W obliczu wyzwań geopolitycznych oraz rosnącej roli technologii cywilnych w budowie efektywnej obronności państwa, potrzebna jest bliska współpraca firm oraz organizacji zaangażowanych w budowę naszej odporności. Odpowiedzią na tę potrzebę jest powstanie Polskiej Izby Dual Use – PIDU. Misją Izby jest integracja ekosystemu technologii podwójnego zastosowania (o przeznaczeniu cywilnym i obronnym), współtworzenie optymalnych warunków dla rozwoju własnych innowacji oraz wsparcie polskiego biznesu w wejściu do globalnych łańcuchów dostaw. PIDU ma także ambicję stać się głosem polskiego sektora dual use w kraju i na poziomie europejskim.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br w:type="textWrapping"/>
        <w:br w:type="textWrapping"/>
        <w:t xml:space="preserve">W inauguracji PIDU wzięło udział blisko 300 przedstawicieli administracji publicznej, biznesu oraz instytucji pozarządowych. W spotkaniu uczestniczyli m.in. Magdalena Sobkowiak, Pełnomocnik Rządu do spraw Instrumentu na rzecz Zwiększania Bezpieczeństwa Europy, Michał Dworczyk, Europoseł i Wiceprzewodniczący SEDE, oraz Paweł Kowal, Przewodniczący Rady ds. Współpracy z Ukrainą. Do zgromadzonych słowa uznania za uruchomienie inicjatywy skierował Komisarz UE ds. obrony Andrius Kubilius. W czasie uroczystości podpisano porozumienia o współpracy z Krajową Izbą Gospodarczą, Fundacją im. Kazimierza Pułaskiego oraz Instytutem Flanki Wschodniej.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Strategiczna rola dual use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br w:type="textWrapping"/>
        <w:t xml:space="preserve">Technologie podwójnego zastosowania, które mogą służyć zarówno celom cywilnym, jak i obronnym, nabierają szczególnego znaczenia w obliczu zmian, którym podlega współczesne pole walki. Kiedy konflikty i zagrożenia coraz częściej przenoszą się do warstw cyberbezpieczeństwa, stabilności sieci łączności czy integralności danych, klasyczne uzbrojenie i technologie okazują się nieadekwatne. Ponadto w tradycyjnym modelu obronnym, państwa stają przed barierą ekonomiczną związaną z gromadzeniem i utrzymaniem sprzętu. Tymczasem technologie dual use rozwijają się dynamicznie na rynku cywilnym, dają dodatkowy impuls gospodarce, zapewniają stałą gotowość operacyjną, a w razie konfliktu są gotowe do natychmiastowego wsparcia systemu bezpieczeństwa państwa.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– Musimy mieć świadomość, że technologie rozwijane w ramach sektora cywilnego są coraz bardziej strategiczną częścią naszego systemu obronności. Polska Izba Dual Use będzie wspierać budowę silnego ekosystemu współpracy pomiędzy administracją publiczną, biznesem i nauką. Chcemy tworzyć rozwiązania odpowiadające na najpilniejsze wyzwania sektora: od zapewnienia długoterminowej stabilności finansowania, przez budowę własnego potencjału, tak aby Polska nie była jedynie pasywnym odbiorcą zagranicznych technologii, po kształtowanie ram prawnych realnie wspierających potrzeby obronne – podkreśla</w:t>
      </w: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 gen. bryg. rez. dr Adam Duda, Prezes Polskiej Izby Dual Use</w:t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. </w:t>
        <w:br w:type="textWrapping"/>
        <w:br w:type="textWrapping"/>
      </w: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Potrzebne systemowe wsparcie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Przedstawiciele Izby wskazują, że polski sektor technologiczny i przemysłowy znajdują się w punkcie przełomowym, który wymaga systemowej integracji.</w:t>
        <w:br w:type="textWrapping"/>
        <w:br w:type="textWrapping"/>
        <w:br w:type="textWrapping"/>
        <w:br w:type="textWrapping"/>
        <w:br w:type="textWrapping"/>
        <w:t xml:space="preserve">– Skupiamy się na konkretnych zadaniach: integracji środowiska technologicznego, wspieraniu rozwoju polskich kompetencji przemysłowych oraz wzmacnianiu pozycji Polski w europejskim ekosystemie defence. Kluczowym wyzwaniem jest także wsparcie firm w lepszym zrozumieniu specyfiki działania i potrzeb sektora obronnego oraz edukacja w zakresie zasad jego funkcjonowania. Status izby gospodarczej pozwala nam jeszcze skuteczniej realizować te cele, dając silny mandat do reprezentowania sektora – zaznacza </w:t>
      </w: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Karolina Opielewicz, Członkini Zarządu PIDU.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Szansa dla polskiej gospodarki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Jak wynika z danych McKinsey &amp; Company zawartych w raporcie The Future of European Defense</w:t>
      </w:r>
      <w:r w:rsidDel="00000000" w:rsidR="00000000" w:rsidRPr="00000000">
        <w:rPr>
          <w:rFonts w:ascii="Roboto" w:cs="Roboto" w:eastAsia="Roboto" w:hAnsi="Roboto"/>
          <w:sz w:val="19"/>
          <w:szCs w:val="19"/>
          <w:vertAlign w:val="superscript"/>
        </w:rPr>
        <w:footnoteReference w:customMarkFollows="0" w:id="0"/>
      </w: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, sektor obronny posiada potężny potencjał makroekonomiczny. Do 2030 roku wydatki europejskich członków NATO na obronność mogą osiągnąć poziom 800 miliardów euro. Aby sprostać temu zapotrzebowaniu, wartość produkcji w Europie powinna wzrosnąć o 235 mld euro rocznie, co stworzyłoby nawet 1,2 miliona nowych miejsc pracy.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– Polska ma ogromny potencjał, aby stać się ważnym uczestnikiem tego sektora i dostawcą innowacji dla innych państw europejskich. Naszym priorytetem jest kształtowanie jasnych standardów i kryteriów definiowania rozwiązań dual use, co uprości i przyspieszy procesy decyzyjne, certyfikacyjne i zakupowe, otwierając polskim firmom drogę do tych kontraktów – dodaje </w:t>
      </w: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Łukasz Czajkowski, Dyrektor Generalny PIDU.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Izba zwraca jednak uwagę na tzw. lukę wdrożeniową (research-to-execution gap). Choć rok 2025 był rekordowy dla europejskich startupów z sektora technologii obronnych, to ich odpowiednicy w USA wciąż dominują, przejmując aż 85% globalnych funduszy VC w tym segmencie.</w:t>
      </w:r>
      <w:r w:rsidDel="00000000" w:rsidR="00000000" w:rsidRPr="00000000">
        <w:rPr>
          <w:rFonts w:ascii="Roboto" w:cs="Roboto" w:eastAsia="Roboto" w:hAnsi="Roboto"/>
          <w:sz w:val="19"/>
          <w:szCs w:val="19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sz w:val="19"/>
          <w:szCs w:val="19"/>
        </w:rPr>
      </w:pPr>
      <w:r w:rsidDel="00000000" w:rsidR="00000000" w:rsidRPr="00000000">
        <w:rPr>
          <w:rFonts w:ascii="Roboto" w:cs="Roboto" w:eastAsia="Roboto" w:hAnsi="Roboto"/>
          <w:sz w:val="19"/>
          <w:szCs w:val="19"/>
          <w:rtl w:val="0"/>
        </w:rPr>
        <w:t xml:space="preserve">– Celem jest wypracowywanie rozwiązań, które pozwolą na systemowe zniwelowanie tej luki poprzez ułatwienie polskim podmiotom dostępu do międzynarodowego know-how oraz kapitału. Chcemy budować wiarygodność naszych innowatorów u zagranicznych partnerów i inwestorów. Bez silnego wsparcia na etapie egzekucji i finansowania, wiele polskich innowacji pozostanie jedynie w fazie prototypów. Izba chce także aktywnie wspierać polskie firmy w wychodzeniu na rynki międzynarodowe – w zdobywaniu kontraktów, budowaniu partnerstw i trwałym zakorzenianiu się w globalnych łańcuchach wartości – podsumowuje</w:t>
      </w:r>
      <w:r w:rsidDel="00000000" w:rsidR="00000000" w:rsidRPr="00000000">
        <w:rPr>
          <w:rFonts w:ascii="Roboto" w:cs="Roboto" w:eastAsia="Roboto" w:hAnsi="Roboto"/>
          <w:b w:val="1"/>
          <w:bCs w:val="1"/>
          <w:sz w:val="19"/>
          <w:szCs w:val="19"/>
          <w:rtl w:val="0"/>
        </w:rPr>
        <w:t xml:space="preserve"> Aleksander Kłak, Członek Prezydium PIDU.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Roboto" w:cs="Roboto" w:eastAsia="Roboto" w:hAnsi="Robot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-812778</wp:posOffset>
            </wp:positionH>
            <wp:positionV relativeFrom="margin">
              <wp:posOffset>7675508</wp:posOffset>
            </wp:positionV>
            <wp:extent cx="2034443" cy="1753200"/>
            <wp:effectExtent b="0" l="0" r="0" t="0"/>
            <wp:wrapNone/>
            <wp:docPr id="191617600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4443" cy="1753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pgSz w:h="15840" w:w="12240" w:orient="portrait"/>
      <w:pgMar w:bottom="759" w:top="1133" w:left="1133" w:right="1133" w:header="850.3937007874016" w:footer="2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line="240" w:lineRule="auto"/>
      <w:jc w:val="center"/>
      <w:rPr>
        <w:rFonts w:ascii="Roboto" w:cs="Roboto" w:eastAsia="Roboto" w:hAnsi="Roboto"/>
        <w:b w:val="1"/>
        <w:bCs w:val="1"/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line="240" w:lineRule="auto"/>
      <w:jc w:val="center"/>
      <w:rPr>
        <w:rFonts w:ascii="Roboto" w:cs="Roboto" w:eastAsia="Roboto" w:hAnsi="Roboto"/>
        <w:b w:val="1"/>
        <w:bCs w:val="1"/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line="240" w:lineRule="auto"/>
      <w:jc w:val="center"/>
      <w:rPr>
        <w:rFonts w:ascii="Roboto" w:cs="Roboto" w:eastAsia="Roboto" w:hAnsi="Roboto"/>
        <w:b w:val="1"/>
        <w:bCs w:val="1"/>
        <w:i w:val="1"/>
        <w:iCs w:val="1"/>
        <w:color w:val="ee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after="0" w:before="0" w:line="240" w:lineRule="auto"/>
      <w:jc w:val="center"/>
      <w:rPr>
        <w:rFonts w:ascii="Roboto" w:cs="Roboto" w:eastAsia="Roboto" w:hAnsi="Roboto"/>
        <w:sz w:val="18"/>
        <w:szCs w:val="18"/>
      </w:rPr>
    </w:pPr>
    <w:r w:rsidDel="00000000" w:rsidR="00000000" w:rsidRPr="00000000">
      <w:rPr>
        <w:rFonts w:ascii="Roboto" w:cs="Roboto" w:eastAsia="Roboto" w:hAnsi="Roboto"/>
        <w:b w:val="1"/>
        <w:bCs w:val="1"/>
        <w:color w:val="ee0000"/>
        <w:sz w:val="18"/>
        <w:szCs w:val="18"/>
        <w:rtl w:val="0"/>
      </w:rPr>
      <w:t xml:space="preserve">POLSKA IZBA DUAL USE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line="240" w:lineRule="auto"/>
      <w:jc w:val="center"/>
      <w:rPr>
        <w:rFonts w:ascii="Roboto" w:cs="Roboto" w:eastAsia="Roboto" w:hAnsi="Roboto"/>
        <w:sz w:val="18"/>
        <w:szCs w:val="18"/>
      </w:rPr>
    </w:pPr>
    <w:r w:rsidDel="00000000" w:rsidR="00000000" w:rsidRPr="00000000">
      <w:rPr>
        <w:rFonts w:ascii="Roboto" w:cs="Roboto" w:eastAsia="Roboto" w:hAnsi="Roboto"/>
        <w:sz w:val="18"/>
        <w:szCs w:val="18"/>
        <w:rtl w:val="0"/>
      </w:rPr>
      <w:t xml:space="preserve">Izba Gospodarcza Rozwiązań Podwójnego Zastosowania i Obronności</w:t>
    </w:r>
  </w:p>
  <w:p w:rsidR="00000000" w:rsidDel="00000000" w:rsidP="00000000" w:rsidRDefault="00000000" w:rsidRPr="00000000" w14:paraId="0000001D">
    <w:pPr>
      <w:spacing w:line="240" w:lineRule="auto"/>
      <w:jc w:val="center"/>
      <w:rPr>
        <w:rFonts w:ascii="Roboto" w:cs="Roboto" w:eastAsia="Roboto" w:hAnsi="Roboto"/>
        <w:sz w:val="18"/>
        <w:szCs w:val="18"/>
      </w:rPr>
    </w:pPr>
    <w:r w:rsidDel="00000000" w:rsidR="00000000" w:rsidRPr="00000000">
      <w:rPr>
        <w:rFonts w:ascii="Roboto" w:cs="Roboto" w:eastAsia="Roboto" w:hAnsi="Roboto"/>
        <w:sz w:val="18"/>
        <w:szCs w:val="18"/>
        <w:rtl w:val="0"/>
      </w:rPr>
      <w:t xml:space="preserve">Rondo ONZ 1 (p. 27), Warszawa 00-124 </w:t>
    </w:r>
  </w:p>
  <w:p w:rsidR="00000000" w:rsidDel="00000000" w:rsidP="00000000" w:rsidRDefault="00000000" w:rsidRPr="00000000" w14:paraId="0000001E">
    <w:pPr>
      <w:spacing w:line="240" w:lineRule="auto"/>
      <w:jc w:val="center"/>
      <w:rPr>
        <w:rFonts w:ascii="Roboto" w:cs="Roboto" w:eastAsia="Roboto" w:hAnsi="Roboto"/>
        <w:sz w:val="18"/>
        <w:szCs w:val="18"/>
      </w:rPr>
    </w:pPr>
    <w:r w:rsidDel="00000000" w:rsidR="00000000" w:rsidRPr="00000000">
      <w:rPr>
        <w:rFonts w:ascii="Roboto" w:cs="Roboto" w:eastAsia="Roboto" w:hAnsi="Roboto"/>
        <w:sz w:val="18"/>
        <w:szCs w:val="18"/>
        <w:rtl w:val="0"/>
      </w:rPr>
      <w:t xml:space="preserve">biuro@izbadualuse.pl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0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https://www.mckinsey.com/industries/aerospace-and-defense/our-insights/cutting-europes-800-billion-euro-gordian-knot-five-catalysts-to-transform-defense</w:t>
      </w:r>
    </w:p>
  </w:footnote>
  <w:footnote w:id="1">
    <w:p w:rsidR="00000000" w:rsidDel="00000000" w:rsidP="00000000" w:rsidRDefault="00000000" w:rsidRPr="00000000" w14:paraId="00000021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https://content.dealroom.co/uploaded/2025/09/State-of-Defence-Tech-2025-Dealroom-Resilience.pdf?x17682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line="240" w:lineRule="auto"/>
      <w:rPr>
        <w:rFonts w:ascii="Roboto" w:cs="Roboto" w:eastAsia="Roboto" w:hAnsi="Roboto"/>
        <w:i w:val="1"/>
        <w:iCs w:val="1"/>
        <w:sz w:val="20"/>
        <w:szCs w:val="20"/>
      </w:rPr>
    </w:pPr>
    <w:r w:rsidDel="00000000" w:rsidR="00000000" w:rsidRPr="00000000">
      <w:rPr>
        <w:rFonts w:ascii="Roboto" w:cs="Roboto" w:eastAsia="Roboto" w:hAnsi="Roboto"/>
        <w:i w:val="1"/>
        <w:iCs w:val="1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5298440</wp:posOffset>
          </wp:positionH>
          <wp:positionV relativeFrom="margin">
            <wp:posOffset>-941934</wp:posOffset>
          </wp:positionV>
          <wp:extent cx="2034443" cy="1753200"/>
          <wp:effectExtent b="0" l="0" r="0" t="0"/>
          <wp:wrapNone/>
          <wp:docPr id="191617600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4443" cy="1753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Roboto" w:cs="Roboto" w:eastAsia="Roboto" w:hAnsi="Roboto"/>
        <w:i w:val="1"/>
        <w:iCs w:val="1"/>
        <w:sz w:val="20"/>
        <w:szCs w:val="20"/>
        <w:rtl w:val="0"/>
      </w:rPr>
      <w:t xml:space="preserve">Wspieramy innowacje. </w:t>
      <w:br w:type="textWrapping"/>
      <w:t xml:space="preserve">Wzmacniamy odporność i bezpieczeństwo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21</wp:posOffset>
          </wp:positionH>
          <wp:positionV relativeFrom="paragraph">
            <wp:posOffset>-21226</wp:posOffset>
          </wp:positionV>
          <wp:extent cx="1932305" cy="364490"/>
          <wp:effectExtent b="0" l="0" r="0" t="0"/>
          <wp:wrapSquare wrapText="bothSides" distB="114300" distT="114300" distL="114300" distR="114300"/>
          <wp:docPr descr="A close up of a logo&#10;&#10;AI-generated content may be incorrect." id="1916175999" name="image2.png"/>
          <a:graphic>
            <a:graphicData uri="http://schemas.openxmlformats.org/drawingml/2006/picture">
              <pic:pic>
                <pic:nvPicPr>
                  <pic:cNvPr descr="A close up of a logo&#10;&#10;AI-generated content may be incorrect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2305" cy="3644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1C7393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C7393"/>
  </w:style>
  <w:style w:type="paragraph" w:styleId="Footer">
    <w:name w:val="footer"/>
    <w:basedOn w:val="Normal"/>
    <w:link w:val="FooterChar"/>
    <w:uiPriority w:val="99"/>
    <w:unhideWhenUsed w:val="1"/>
    <w:rsid w:val="001C7393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C7393"/>
  </w:style>
  <w:style w:type="table" w:styleId="TableGrid">
    <w:name w:val="Table Grid"/>
    <w:basedOn w:val="TableNormal"/>
    <w:uiPriority w:val="39"/>
    <w:rsid w:val="001C7393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Q+0qolU34jFiaA7nraY9Tufz6g==">CgMxLjA4AHIhMUV0YXVYZkdxYVVzd182YlA0enVEYjZiTXctVkNLZDZz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2026-02-23T13:36:00Z</dcterms:created>
</cp:coreProperties>
</file>