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18505125" w:rsidR="0007523A" w:rsidRPr="008A216B" w:rsidRDefault="00EA5D6C" w:rsidP="0909A914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E52D4F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8A216B">
        <w:rPr>
          <w:rFonts w:ascii="Calibri Light" w:hAnsi="Calibri Light" w:cs="Calibri Light"/>
          <w:color w:val="auto"/>
        </w:rPr>
        <w:t>Deloitte Polska</w:t>
      </w:r>
      <w:r w:rsidR="0007523A" w:rsidRPr="008A216B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8A216B">
        <w:rPr>
          <w:rFonts w:ascii="Calibri Light" w:hAnsi="Calibri Light" w:cs="Calibri Light"/>
          <w:color w:val="auto"/>
        </w:rPr>
        <w:t>22</w:t>
      </w:r>
      <w:r w:rsidR="0007523A" w:rsidRPr="008A216B">
        <w:rPr>
          <w:rFonts w:ascii="Calibri Light" w:hAnsi="Calibri Light" w:cs="Calibri Light"/>
          <w:color w:val="auto"/>
        </w:rPr>
        <w:br/>
        <w:t>00-</w:t>
      </w:r>
      <w:r w:rsidR="000E53C8" w:rsidRPr="008A216B">
        <w:rPr>
          <w:rFonts w:ascii="Calibri Light" w:hAnsi="Calibri Light" w:cs="Calibri Light"/>
          <w:color w:val="auto"/>
        </w:rPr>
        <w:t>133</w:t>
      </w:r>
      <w:r w:rsidR="0007523A" w:rsidRPr="008A216B">
        <w:rPr>
          <w:rFonts w:ascii="Calibri Light" w:hAnsi="Calibri Light" w:cs="Calibri Light"/>
          <w:color w:val="auto"/>
        </w:rPr>
        <w:t xml:space="preserve"> Warszawa</w:t>
      </w:r>
      <w:r w:rsidR="0007523A" w:rsidRPr="008A216B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2A137E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E52D4F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8A216B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8A216B" w:rsidRDefault="0007523A" w:rsidP="00680B3F">
                      <w:pPr>
                        <w:pStyle w:val="Fax"/>
                        <w:spacing w:line="600" w:lineRule="exact"/>
                      </w:pPr>
                      <w:r w:rsidRPr="008A216B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2A137E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2A137E">
        <w:rPr>
          <w:rFonts w:ascii="Calibri Light" w:hAnsi="Calibri Light" w:cs="Calibri Light"/>
          <w:sz w:val="15"/>
          <w:lang w:val="en-US"/>
        </w:rPr>
        <w:br/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2A137E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2A137E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2A137E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A216B" w14:paraId="17F0F836" w14:textId="77777777" w:rsidTr="007A28C4">
        <w:tc>
          <w:tcPr>
            <w:tcW w:w="4077" w:type="dxa"/>
          </w:tcPr>
          <w:p w14:paraId="7E92DD10" w14:textId="5EA9104F" w:rsidR="00B023D2" w:rsidRPr="008A216B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8A216B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8A216B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A216B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8A216B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8A216B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151" w:type="dxa"/>
          </w:tcPr>
          <w:p w14:paraId="4BCD2428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700D2D27" w14:textId="7DAEFBCB" w:rsidR="00654C9D" w:rsidRPr="006936FA" w:rsidRDefault="00654C9D" w:rsidP="006936FA">
      <w:pPr>
        <w:spacing w:before="240"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654C9D">
        <w:rPr>
          <w:rFonts w:ascii="Calibri Light" w:hAnsi="Calibri Light" w:cs="Calibri Light"/>
          <w:b/>
          <w:bCs/>
          <w:sz w:val="28"/>
          <w:szCs w:val="28"/>
        </w:rPr>
        <w:t>Sytuacja geopolityczna napędza rekordowe inwestycje w polskiej energetyce</w:t>
      </w:r>
    </w:p>
    <w:p w14:paraId="55239079" w14:textId="1AFAAB5D" w:rsidR="007F6025" w:rsidRPr="007F6025" w:rsidRDefault="007F6025" w:rsidP="007F6025">
      <w:pPr>
        <w:spacing w:after="12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F6025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r w:rsidR="00F07C50">
        <w:rPr>
          <w:rFonts w:ascii="Calibri Light" w:hAnsi="Calibri Light" w:cs="Calibri Light"/>
          <w:i/>
          <w:iCs/>
          <w:sz w:val="24"/>
          <w:szCs w:val="24"/>
        </w:rPr>
        <w:t>R</w:t>
      </w:r>
      <w:r w:rsidRPr="007F6025">
        <w:rPr>
          <w:rFonts w:ascii="Calibri Light" w:hAnsi="Calibri Light" w:cs="Calibri Light"/>
          <w:i/>
          <w:iCs/>
          <w:sz w:val="24"/>
          <w:szCs w:val="24"/>
        </w:rPr>
        <w:t>egulacje</w:t>
      </w:r>
      <w:r w:rsidR="00F07C50">
        <w:rPr>
          <w:rFonts w:ascii="Calibri Light" w:hAnsi="Calibri Light" w:cs="Calibri Light"/>
          <w:i/>
          <w:iCs/>
          <w:sz w:val="24"/>
          <w:szCs w:val="24"/>
        </w:rPr>
        <w:t>,</w:t>
      </w:r>
      <w:r w:rsidRPr="007F6025">
        <w:rPr>
          <w:rFonts w:ascii="Calibri Light" w:hAnsi="Calibri Light" w:cs="Calibri Light"/>
          <w:i/>
          <w:iCs/>
          <w:sz w:val="24"/>
          <w:szCs w:val="24"/>
        </w:rPr>
        <w:t xml:space="preserve"> kompetencje</w:t>
      </w:r>
      <w:r w:rsidR="00F07C50">
        <w:rPr>
          <w:rFonts w:ascii="Calibri Light" w:hAnsi="Calibri Light" w:cs="Calibri Light"/>
          <w:i/>
          <w:iCs/>
          <w:sz w:val="24"/>
          <w:szCs w:val="24"/>
        </w:rPr>
        <w:t xml:space="preserve"> i technologi</w:t>
      </w:r>
      <w:r w:rsidR="00126302">
        <w:rPr>
          <w:rFonts w:ascii="Calibri Light" w:hAnsi="Calibri Light" w:cs="Calibri Light"/>
          <w:i/>
          <w:iCs/>
          <w:sz w:val="24"/>
          <w:szCs w:val="24"/>
        </w:rPr>
        <w:t>e</w:t>
      </w:r>
      <w:r w:rsidRPr="007F6025">
        <w:rPr>
          <w:rFonts w:ascii="Calibri Light" w:hAnsi="Calibri Light" w:cs="Calibri Light"/>
          <w:i/>
          <w:iCs/>
          <w:sz w:val="24"/>
          <w:szCs w:val="24"/>
        </w:rPr>
        <w:t xml:space="preserve"> zdecydują o pozycji Europy w warunkach rosnącej presji kosztowej i globalnej konkurencji</w:t>
      </w:r>
    </w:p>
    <w:p w14:paraId="170C2FBF" w14:textId="1D8CC8EF" w:rsidR="00811990" w:rsidRPr="0031243C" w:rsidRDefault="00FB54D0" w:rsidP="2038FB5B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Warszawa, </w:t>
      </w:r>
      <w:r w:rsidR="003F29D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30</w:t>
      </w:r>
      <w:r w:rsidR="003C49DD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marca</w:t>
      </w:r>
      <w:r w:rsidR="00812E17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850D60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202</w:t>
      </w:r>
      <w:r w:rsidR="00DC68B4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6</w:t>
      </w:r>
      <w:r w:rsidR="00391CD2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r. –</w:t>
      </w:r>
      <w:r w:rsidR="00540BD3" w:rsidRPr="2038FB5B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Transformacja energetyczna kształtuj</w:t>
      </w:r>
      <w:r w:rsidR="006842E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e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konkurencyjność gospodarki oraz bezpieczeństwo państw. W Polsce w perspektywie najbliższych 10 lat skala inwestycji w tym obszarze </w:t>
      </w:r>
      <w:r w:rsidR="006842E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ma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przekroczyć bilion złotych, co pokazuje wagę nadchodzących decyzji strategicznych. </w:t>
      </w:r>
      <w:r w:rsidR="006842E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W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yzwaniem </w:t>
      </w:r>
      <w:r w:rsidR="006842E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w tej sytuacji 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pozostaje pogodzenie ambicji klimatycznych z dostępnością i kosztem energii, który bezpośrednio wpływa na </w:t>
      </w:r>
      <w:r w:rsidR="00746E7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konsumentów, a także </w:t>
      </w:r>
      <w:r w:rsidR="00ED72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na 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kondycję przemysłu. Zagadnienia te były przedmiotem dyskusji podczas tegorocznego Polskiego Kongresu Klimatycznego, gdzie eksperci Deloitte analizowali kierunki dalszych zmian. Wnioski z debat oraz doświadczenia przedstawicieli rynku znalazły odzwierciedlenie w raporcie „Transformacja 4.0: od diagnozy do wdrożenia”</w:t>
      </w:r>
      <w:r w:rsidR="005F219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, którego głównym partnerem jest firma doradcza</w:t>
      </w:r>
      <w:r w:rsidR="00C54DBA" w:rsidRPr="00C54DB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</w:t>
      </w:r>
    </w:p>
    <w:p w14:paraId="73FCC5A2" w14:textId="21D15FEF" w:rsidR="003F29DE" w:rsidRPr="003F29DE" w:rsidRDefault="003F29DE" w:rsidP="003F29DE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Transformacja energetyczna </w:t>
      </w:r>
      <w:r w:rsidR="00813B8E">
        <w:rPr>
          <w:rFonts w:ascii="Calibri Light" w:hAnsi="Calibri Light" w:cs="Calibri Light"/>
          <w:bCs/>
          <w:color w:val="000000"/>
          <w:sz w:val="22"/>
          <w:szCs w:val="22"/>
        </w:rPr>
        <w:t>stanowi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jed</w:t>
      </w:r>
      <w:r w:rsidR="00C13CD8">
        <w:rPr>
          <w:rFonts w:ascii="Calibri Light" w:hAnsi="Calibri Light" w:cs="Calibri Light"/>
          <w:bCs/>
          <w:color w:val="000000"/>
          <w:sz w:val="22"/>
          <w:szCs w:val="22"/>
        </w:rPr>
        <w:t>en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z filarów działań na rzecz klimatu i budowy odpornej gospodarki. To proces, który wykracza daleko poza sam sektor energii</w:t>
      </w:r>
      <w:r w:rsidR="00813B8E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obejmuj</w:t>
      </w:r>
      <w:r w:rsidR="00813B8E">
        <w:rPr>
          <w:rFonts w:ascii="Calibri Light" w:hAnsi="Calibri Light" w:cs="Calibri Light"/>
          <w:bCs/>
          <w:color w:val="000000"/>
          <w:sz w:val="22"/>
          <w:szCs w:val="22"/>
        </w:rPr>
        <w:t>ą</w:t>
      </w:r>
      <w:r w:rsidR="0000591F">
        <w:rPr>
          <w:rFonts w:ascii="Calibri Light" w:hAnsi="Calibri Light" w:cs="Calibri Light"/>
          <w:bCs/>
          <w:color w:val="000000"/>
          <w:sz w:val="22"/>
          <w:szCs w:val="22"/>
        </w:rPr>
        <w:t>c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C5CDF">
        <w:rPr>
          <w:rFonts w:ascii="Calibri Light" w:hAnsi="Calibri Light" w:cs="Calibri Light"/>
          <w:bCs/>
          <w:color w:val="000000"/>
          <w:sz w:val="22"/>
          <w:szCs w:val="22"/>
        </w:rPr>
        <w:t>obszary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od przemysłu i infrastruktury, przez sektor finansowy, aż po rozwój technologii cyfrowych, stanowiących fundament efektywności, elastyczności i bezpieczeństwa. W obliczu </w:t>
      </w:r>
      <w:r w:rsidR="00DD25FC">
        <w:rPr>
          <w:rFonts w:ascii="Calibri Light" w:hAnsi="Calibri Light" w:cs="Calibri Light"/>
          <w:bCs/>
          <w:color w:val="000000"/>
          <w:sz w:val="22"/>
          <w:szCs w:val="22"/>
        </w:rPr>
        <w:t>powszechnych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wyzwań klimatycznych i geopolitycznych coraz większego znaczenia nabiera zintegrowane podejście, łączące regulacje, inwestycje oraz rozwój kompetencji.</w:t>
      </w:r>
    </w:p>
    <w:p w14:paraId="56C1A944" w14:textId="0A3C5AC0" w:rsidR="003F29DE" w:rsidRDefault="003F29DE" w:rsidP="56573A1D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Zagadnienia te </w:t>
      </w:r>
      <w:r w:rsidR="006C44AD">
        <w:rPr>
          <w:rFonts w:ascii="Calibri Light" w:hAnsi="Calibri Light" w:cs="Calibri Light"/>
          <w:bCs/>
          <w:color w:val="000000"/>
          <w:sz w:val="22"/>
          <w:szCs w:val="22"/>
        </w:rPr>
        <w:t xml:space="preserve">pojawiły się 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zarówno w agendzie </w:t>
      </w:r>
      <w:r w:rsidR="00F359BF">
        <w:rPr>
          <w:rFonts w:ascii="Calibri Light" w:hAnsi="Calibri Light" w:cs="Calibri Light"/>
          <w:bCs/>
          <w:color w:val="000000"/>
          <w:sz w:val="22"/>
          <w:szCs w:val="22"/>
        </w:rPr>
        <w:t xml:space="preserve">tegorocznego 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Polskiego Kongresu Klimatycznego, jak i w </w:t>
      </w:r>
      <w:r w:rsidR="00E57815">
        <w:rPr>
          <w:rFonts w:ascii="Calibri Light" w:hAnsi="Calibri Light" w:cs="Calibri Light"/>
          <w:bCs/>
          <w:color w:val="000000"/>
          <w:sz w:val="22"/>
          <w:szCs w:val="22"/>
        </w:rPr>
        <w:t xml:space="preserve">najnowszym 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>raporcie „Transformacja 4.0: od diagnozy do wdrożenia”</w:t>
      </w:r>
      <w:r w:rsidR="009E1239">
        <w:rPr>
          <w:rFonts w:ascii="Calibri Light" w:hAnsi="Calibri Light" w:cs="Calibri Light"/>
          <w:bCs/>
          <w:color w:val="000000"/>
          <w:sz w:val="22"/>
          <w:szCs w:val="22"/>
        </w:rPr>
        <w:t>, którego głównym partnerem jest Deloitte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. Publikacja została przygotowana z myślą o stworzeniu przestrzeni do </w:t>
      </w:r>
      <w:r w:rsidR="00AF6816">
        <w:rPr>
          <w:rFonts w:ascii="Calibri Light" w:hAnsi="Calibri Light" w:cs="Calibri Light"/>
          <w:bCs/>
          <w:color w:val="000000"/>
          <w:sz w:val="22"/>
          <w:szCs w:val="22"/>
        </w:rPr>
        <w:t>efektywnej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współpracy międzysektorowej</w:t>
      </w:r>
      <w:r w:rsidR="009A4ACE">
        <w:rPr>
          <w:rFonts w:ascii="Calibri Light" w:hAnsi="Calibri Light" w:cs="Calibri Light"/>
          <w:bCs/>
          <w:color w:val="000000"/>
          <w:sz w:val="22"/>
          <w:szCs w:val="22"/>
        </w:rPr>
        <w:t>, a j</w:t>
      </w:r>
      <w:r w:rsidR="00E95F9D">
        <w:rPr>
          <w:rFonts w:ascii="Calibri Light" w:hAnsi="Calibri Light" w:cs="Calibri Light"/>
          <w:bCs/>
          <w:color w:val="000000"/>
          <w:sz w:val="22"/>
          <w:szCs w:val="22"/>
        </w:rPr>
        <w:t>ej założeniem jest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wypracowani</w:t>
      </w:r>
      <w:r w:rsidR="009A4ACE">
        <w:rPr>
          <w:rFonts w:ascii="Calibri Light" w:hAnsi="Calibri Light" w:cs="Calibri Light"/>
          <w:bCs/>
          <w:color w:val="000000"/>
          <w:sz w:val="22"/>
          <w:szCs w:val="22"/>
        </w:rPr>
        <w:t>e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 xml:space="preserve"> rozwiązań, które będą wspierać skuteczną</w:t>
      </w:r>
      <w:r w:rsidR="00D66D01">
        <w:rPr>
          <w:rFonts w:ascii="Calibri Light" w:hAnsi="Calibri Light" w:cs="Calibri Light"/>
          <w:bCs/>
          <w:color w:val="000000"/>
          <w:sz w:val="22"/>
          <w:szCs w:val="22"/>
        </w:rPr>
        <w:t xml:space="preserve"> i zrównoważoną </w:t>
      </w:r>
      <w:r w:rsidR="00DF0BE7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przebudowę </w:t>
      </w:r>
      <w:r w:rsidRPr="003F29DE">
        <w:rPr>
          <w:rFonts w:ascii="Calibri Light" w:hAnsi="Calibri Light" w:cs="Calibri Light"/>
          <w:bCs/>
          <w:color w:val="000000"/>
          <w:sz w:val="22"/>
          <w:szCs w:val="22"/>
        </w:rPr>
        <w:t>polskiej gospodarki.</w:t>
      </w:r>
      <w:r w:rsidR="00093795">
        <w:rPr>
          <w:rFonts w:ascii="Calibri Light" w:hAnsi="Calibri Light" w:cs="Calibri Light"/>
          <w:bCs/>
          <w:color w:val="000000"/>
          <w:sz w:val="22"/>
          <w:szCs w:val="22"/>
        </w:rPr>
        <w:t xml:space="preserve"> Dokument </w:t>
      </w:r>
      <w:r w:rsidR="009A4ACE">
        <w:rPr>
          <w:rFonts w:ascii="Calibri Light" w:hAnsi="Calibri Light" w:cs="Calibri Light"/>
          <w:bCs/>
          <w:color w:val="000000"/>
          <w:sz w:val="22"/>
          <w:szCs w:val="22"/>
        </w:rPr>
        <w:t xml:space="preserve">jest </w:t>
      </w:r>
      <w:r w:rsidR="00AB5429">
        <w:rPr>
          <w:rFonts w:ascii="Calibri Light" w:hAnsi="Calibri Light" w:cs="Calibri Light"/>
          <w:bCs/>
          <w:color w:val="000000"/>
          <w:sz w:val="22"/>
          <w:szCs w:val="22"/>
        </w:rPr>
        <w:t xml:space="preserve">kompleksową </w:t>
      </w:r>
      <w:r w:rsidR="009A4ACE">
        <w:rPr>
          <w:rFonts w:ascii="Calibri Light" w:hAnsi="Calibri Light" w:cs="Calibri Light"/>
          <w:bCs/>
          <w:color w:val="000000"/>
          <w:sz w:val="22"/>
          <w:szCs w:val="22"/>
        </w:rPr>
        <w:t>syntezą doświadczeń</w:t>
      </w:r>
      <w:r w:rsidR="008C287B">
        <w:rPr>
          <w:rFonts w:ascii="Calibri Light" w:hAnsi="Calibri Light" w:cs="Calibri Light"/>
          <w:bCs/>
          <w:color w:val="000000"/>
          <w:sz w:val="22"/>
          <w:szCs w:val="22"/>
        </w:rPr>
        <w:t xml:space="preserve"> administracji publicznej, spółek Skarbu Państwa,</w:t>
      </w:r>
      <w:r w:rsidR="00000268">
        <w:rPr>
          <w:rFonts w:ascii="Calibri Light" w:hAnsi="Calibri Light" w:cs="Calibri Light"/>
          <w:bCs/>
          <w:color w:val="000000"/>
          <w:sz w:val="22"/>
          <w:szCs w:val="22"/>
        </w:rPr>
        <w:t xml:space="preserve"> sektora</w:t>
      </w:r>
      <w:r w:rsidR="008C287B">
        <w:rPr>
          <w:rFonts w:ascii="Calibri Light" w:hAnsi="Calibri Light" w:cs="Calibri Light"/>
          <w:bCs/>
          <w:color w:val="000000"/>
          <w:sz w:val="22"/>
          <w:szCs w:val="22"/>
        </w:rPr>
        <w:t xml:space="preserve"> prywatnego oraz instytucji finansowych</w:t>
      </w:r>
      <w:r w:rsidR="00AB5429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2E82A2CF" w14:textId="6232BC3C" w:rsidR="0045679F" w:rsidRPr="007B4A14" w:rsidRDefault="000A708F" w:rsidP="007B4A14">
      <w:pPr>
        <w:spacing w:after="120"/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</w:pP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Transformacja energetyczna wymaga współpracy wielu środowisk i połączenia różnych doświadczeń. Jednak o jej powodzeniu w największym stopniu decydują ludzie – ich kompetencje, decyzje i zdolność do działania w zmieniającym się otoczeniu.</w:t>
      </w:r>
      <w:r w:rsidR="006A078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To oni wdrażają nowe rozwiązania, kształtują kierunki inwestycji i budują wartość w całym łańcuchu sektora. Coraz większego znaczenia nabiera więc rozwój kompetencji, które łączą wiedzę technologiczną, cyfrową i biznesową.</w:t>
      </w:r>
      <w:r w:rsidR="006A078B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Dlatego inwestycja w</w:t>
      </w:r>
      <w:r w:rsidR="00A04D92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interdyscyplinarne 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kadry i ich przygotowanie do nowych wyzwań staj</w:t>
      </w:r>
      <w:r w:rsidR="000D1A9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ą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się najważniejszy</w:t>
      </w:r>
      <w:r w:rsidR="000D1A9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mi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element</w:t>
      </w:r>
      <w:r w:rsidR="000D1A9F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ami</w:t>
      </w:r>
      <w:r w:rsidR="00A534A8" w:rsidRPr="00A534A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cał</w:t>
      </w:r>
      <w:r w:rsidR="00F968E7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ego procesu 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mówi </w:t>
      </w:r>
      <w:r w:rsidR="002E6AA2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Joanna Świerzyńska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8A1C42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prezeska zarządu </w:t>
      </w:r>
      <w:r w:rsidR="002D5CB7">
        <w:rPr>
          <w:rFonts w:ascii="Calibri Light" w:hAnsi="Calibri Light" w:cs="Calibri Light"/>
          <w:color w:val="000000" w:themeColor="text1"/>
          <w:sz w:val="22"/>
          <w:szCs w:val="22"/>
        </w:rPr>
        <w:t xml:space="preserve">Deloitte </w:t>
      </w:r>
      <w:r w:rsidR="002D5CB7" w:rsidRPr="00963604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Polska, </w:t>
      </w:r>
      <w:r w:rsidR="002E6AA2" w:rsidRPr="00963604">
        <w:rPr>
          <w:rFonts w:ascii="Calibri Light" w:hAnsi="Calibri Light" w:cs="Calibri Light"/>
          <w:color w:val="000000" w:themeColor="text1"/>
          <w:sz w:val="22"/>
          <w:szCs w:val="22"/>
        </w:rPr>
        <w:t>partnerka zarządzająca Deloitte w Polsce, krajach bałtyckich i Ukrainie.</w:t>
      </w:r>
      <w:r w:rsidR="002E6AA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14D33835" w14:textId="67EA9C7F" w:rsidR="004605C8" w:rsidRDefault="00FA35DA" w:rsidP="004605C8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Ambicje</w:t>
      </w:r>
      <w:r w:rsidR="004605C8" w:rsidRPr="004605C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klimatyczn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e</w:t>
      </w:r>
      <w:r w:rsidR="004605C8" w:rsidRPr="004605C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a konkurencyjność gospodarki</w:t>
      </w:r>
    </w:p>
    <w:p w14:paraId="4158D5B0" w14:textId="2B61E80F" w:rsidR="001D0330" w:rsidRPr="001D0330" w:rsidRDefault="001D0330" w:rsidP="001D0330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1D0330">
        <w:rPr>
          <w:rFonts w:ascii="Calibri Light" w:hAnsi="Calibri Light" w:cs="Calibri Light"/>
          <w:color w:val="000000"/>
          <w:sz w:val="22"/>
          <w:szCs w:val="22"/>
        </w:rPr>
        <w:t>Europa próbuje odnaleźć równowagę w realiach dynamicznych warunków gospodarczych i geopolitycznych. Przyspieszone przez ostatnie kryzysy dążenie do większej niezależności energetycznej sprawia, że transformacja coraz częściej postrzegana jest w kategoriach bezpieczeństwa</w:t>
      </w:r>
      <w:r w:rsidR="00E71E1E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 nie tylko klimatycznego, ale także surowcowego</w:t>
      </w:r>
      <w:r w:rsidR="0091379F">
        <w:rPr>
          <w:rFonts w:ascii="Calibri Light" w:hAnsi="Calibri Light" w:cs="Calibri Light"/>
          <w:color w:val="000000"/>
          <w:sz w:val="22"/>
          <w:szCs w:val="22"/>
        </w:rPr>
        <w:t xml:space="preserve"> i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 technologiczneg</w:t>
      </w:r>
      <w:r w:rsidR="0091379F">
        <w:rPr>
          <w:rFonts w:ascii="Calibri Light" w:hAnsi="Calibri Light" w:cs="Calibri Light"/>
          <w:color w:val="000000"/>
          <w:sz w:val="22"/>
          <w:szCs w:val="22"/>
        </w:rPr>
        <w:t>o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>.</w:t>
      </w:r>
      <w:r w:rsidR="002673D9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Na tym tle wyraźnie rysuje się kontekst konkurencyjności. Różnice w skali globalnych inwestycji pozostają znaczące – Chiny przeznaczają na rozwój odnawialnych źródeł energii (OZE) </w:t>
      </w:r>
      <w:r w:rsidR="00F33A85">
        <w:rPr>
          <w:rFonts w:ascii="Calibri Light" w:hAnsi="Calibri Light" w:cs="Calibri Light"/>
          <w:color w:val="000000"/>
          <w:sz w:val="22"/>
          <w:szCs w:val="22"/>
        </w:rPr>
        <w:t>ponad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 600 mld USD, Stany Zjednoczone </w:t>
      </w:r>
      <w:r w:rsidR="009230EF">
        <w:rPr>
          <w:rFonts w:ascii="Calibri Light" w:hAnsi="Calibri Light" w:cs="Calibri Light"/>
          <w:color w:val="000000"/>
          <w:sz w:val="22"/>
          <w:szCs w:val="22"/>
        </w:rPr>
        <w:t>ponad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9230EF">
        <w:rPr>
          <w:rFonts w:ascii="Calibri Light" w:hAnsi="Calibri Light" w:cs="Calibri Light"/>
          <w:color w:val="000000"/>
          <w:sz w:val="22"/>
          <w:szCs w:val="22"/>
        </w:rPr>
        <w:t>3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00 mld USD, podczas gdy Europa inwestuje ok. 386 mld USD. Oznacza to nie tylko inną dynamikę </w:t>
      </w:r>
      <w:r w:rsidR="00F968E7">
        <w:rPr>
          <w:rFonts w:ascii="Calibri Light" w:hAnsi="Calibri Light" w:cs="Calibri Light"/>
          <w:color w:val="000000"/>
          <w:sz w:val="22"/>
          <w:szCs w:val="22"/>
        </w:rPr>
        <w:t>przemian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>, ale także odmienne możliwości budowania zaplecza technologicznego i przemysłowego. Niezależnie od skali inwestycji, wspólnym mianownikiem pozostaje dążenie do zapewnienia stabilnej i dostępnej energii, co wymaga rozwoju infrastruktury, krajowych łańcuchów dostaw oraz sprawnych ram regulacyjnych.</w:t>
      </w:r>
    </w:p>
    <w:p w14:paraId="080A89B2" w14:textId="0CC0F648" w:rsidR="001D0330" w:rsidRDefault="001D0330" w:rsidP="001D0330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Wśród </w:t>
      </w:r>
      <w:r w:rsidR="001C2CD5">
        <w:rPr>
          <w:rFonts w:ascii="Calibri Light" w:hAnsi="Calibri Light" w:cs="Calibri Light"/>
          <w:color w:val="000000"/>
          <w:sz w:val="22"/>
          <w:szCs w:val="22"/>
        </w:rPr>
        <w:t>istotnych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 xml:space="preserve"> wyzwań wskazywane są również tempo procesów inwestycyjnych i otoczenie regulacyjne. </w:t>
      </w:r>
      <w:r w:rsidR="00C00BF5">
        <w:rPr>
          <w:rFonts w:ascii="Calibri Light" w:hAnsi="Calibri Light" w:cs="Calibri Light"/>
          <w:color w:val="000000"/>
          <w:sz w:val="22"/>
          <w:szCs w:val="22"/>
        </w:rPr>
        <w:t>N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a poziomie Unii Europejskiej wdra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ane s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rozwi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zania maj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ce </w:t>
      </w:r>
      <w:r w:rsidR="00933908">
        <w:rPr>
          <w:rFonts w:ascii="Calibri Light" w:hAnsi="Calibri Light" w:cs="Calibri Light"/>
          <w:color w:val="000000"/>
          <w:sz w:val="22"/>
          <w:szCs w:val="22"/>
        </w:rPr>
        <w:t>je przyspieszyć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, w tym zapisy dyrektywy RED III, które skracaj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czas uzyskiwania pozwole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dla projektów OZE nawet do 12</w:t>
      </w:r>
      <w:r w:rsidR="008500AD">
        <w:rPr>
          <w:rFonts w:ascii="Calibri Light" w:hAnsi="Calibri Light" w:cs="Calibri Light"/>
          <w:color w:val="000000"/>
          <w:sz w:val="22"/>
          <w:szCs w:val="22"/>
        </w:rPr>
        <w:t>-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24 miesi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cy oraz wprowadzaj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tzw. obszary przyspieszonego rozwoju. </w:t>
      </w:r>
      <w:r w:rsidR="0043698B">
        <w:rPr>
          <w:rFonts w:ascii="Calibri Light" w:hAnsi="Calibri Light" w:cs="Calibri Light"/>
          <w:color w:val="000000"/>
          <w:sz w:val="22"/>
          <w:szCs w:val="22"/>
        </w:rPr>
        <w:t>Oprócz tego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prowadzone s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zmiany legislacyjne na poziomie krajowym</w:t>
      </w:r>
      <w:r w:rsidR="00FA2EE6">
        <w:rPr>
          <w:rFonts w:ascii="Calibri Light" w:hAnsi="Calibri Light" w:cs="Calibri Light"/>
          <w:color w:val="000000"/>
          <w:sz w:val="22"/>
          <w:szCs w:val="22"/>
        </w:rPr>
        <w:t xml:space="preserve"> (np. UC84)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600944">
        <w:rPr>
          <w:rFonts w:ascii="Calibri Light" w:hAnsi="Calibri Light" w:cs="Calibri Light"/>
          <w:color w:val="000000"/>
          <w:sz w:val="22"/>
          <w:szCs w:val="22"/>
        </w:rPr>
        <w:t>zakładające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usprawni</w:t>
      </w:r>
      <w:r w:rsidR="00600944">
        <w:rPr>
          <w:rFonts w:ascii="Calibri Light" w:hAnsi="Calibri Light" w:cs="Calibri Light"/>
          <w:color w:val="000000"/>
          <w:sz w:val="22"/>
          <w:szCs w:val="22"/>
        </w:rPr>
        <w:t>enie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proces</w:t>
      </w:r>
      <w:r w:rsidR="00600944">
        <w:rPr>
          <w:rFonts w:ascii="Calibri Light" w:hAnsi="Calibri Light" w:cs="Calibri Light"/>
          <w:color w:val="000000"/>
          <w:sz w:val="22"/>
          <w:szCs w:val="22"/>
        </w:rPr>
        <w:t>ów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przy</w:t>
      </w:r>
      <w:r w:rsidR="008500AD" w:rsidRPr="008500AD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>czeniow</w:t>
      </w:r>
      <w:r w:rsidR="00600944">
        <w:rPr>
          <w:rFonts w:ascii="Calibri Light" w:hAnsi="Calibri Light" w:cs="Calibri Light"/>
          <w:color w:val="000000"/>
          <w:sz w:val="22"/>
          <w:szCs w:val="22"/>
        </w:rPr>
        <w:t>ych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i ogranicz</w:t>
      </w:r>
      <w:r w:rsidR="00600944">
        <w:rPr>
          <w:rFonts w:ascii="Calibri Light" w:hAnsi="Calibri Light" w:cs="Calibri Light"/>
          <w:color w:val="000000"/>
          <w:sz w:val="22"/>
          <w:szCs w:val="22"/>
        </w:rPr>
        <w:t>enie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barier administracyjn</w:t>
      </w:r>
      <w:r w:rsidR="00600944">
        <w:rPr>
          <w:rFonts w:ascii="Calibri Light" w:hAnsi="Calibri Light" w:cs="Calibri Light"/>
          <w:color w:val="000000"/>
          <w:sz w:val="22"/>
          <w:szCs w:val="22"/>
        </w:rPr>
        <w:t>ych</w:t>
      </w:r>
      <w:r w:rsidR="008500AD" w:rsidRPr="008500AD">
        <w:rPr>
          <w:rFonts w:ascii="Calibri Light" w:hAnsi="Calibri Light" w:cs="Calibri Light"/>
          <w:color w:val="000000"/>
          <w:sz w:val="22"/>
          <w:szCs w:val="22"/>
        </w:rPr>
        <w:t xml:space="preserve"> w rozwoju infrastruktury energetycznej.</w:t>
      </w:r>
      <w:r w:rsidR="00FB237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1D0330">
        <w:rPr>
          <w:rFonts w:ascii="Calibri Light" w:hAnsi="Calibri Light" w:cs="Calibri Light"/>
          <w:color w:val="000000"/>
          <w:sz w:val="22"/>
          <w:szCs w:val="22"/>
        </w:rPr>
        <w:t>Jednocześnie skala planowanych inwestycji – zarówno w odnawialne źródła energii, energetykę jądrową, jak i infrastrukturę sieciową – pokazuje, że Europa i Polska znajdują się w momencie przełomowym, który będzie determinował ich pozycję gospodarczą na kolejne dekady.</w:t>
      </w:r>
    </w:p>
    <w:p w14:paraId="068061E2" w14:textId="756682DC" w:rsidR="00DF05FE" w:rsidRPr="001D0330" w:rsidRDefault="00DF05FE" w:rsidP="001D0330">
      <w:pPr>
        <w:spacing w:after="120"/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</w:pP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Dziś w Europie widać</w:t>
      </w:r>
      <w:r w:rsidR="00017BA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wyraźne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przesunięcie akcentu z samej zielonej transformacji w kierunku czystej transformacji przemysłowej. 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Jest to zmiana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podejścia, która wynika m.in. z realiów gospodarczych i rosnącej presji konkurencyjnej.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 jednej strony mamy wyższe koszty operacyjne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 tym energii, </w:t>
      </w:r>
      <w:r w:rsidR="001A696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wynoszące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30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-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35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proc.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więcej niż w innych regionach świata. Z drugiej jednak ponad 80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865D7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proc.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przedsiębiorstw zwiększyło inwestycje w energety</w:t>
      </w:r>
      <w:r w:rsidR="003F69AD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kę niskoemisyjną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a </w:t>
      </w:r>
      <w:r w:rsidR="00865D7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dwie trzecie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67614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firm 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deklaruje osiągnięcie </w:t>
      </w:r>
      <w:r w:rsidR="0067614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celu Net Zero do 2040 roku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.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 tej sytuacji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wyzwaniem 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staje się </w:t>
      </w:r>
      <w:r w:rsidRPr="00FD4C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znalezienie sposobu, by przełożyć ambicje klimatyczne na trwałą konkurencyjność europejskiej gospodarki</w:t>
      </w:r>
      <w:r w:rsidRPr="002D22C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Pr="002D22C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komentuje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Piotr Hałoń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P</w:t>
      </w:r>
      <w:r w:rsidRPr="00523821">
        <w:rPr>
          <w:rFonts w:ascii="Calibri Light" w:hAnsi="Calibri Light" w:cs="Calibri Light"/>
          <w:color w:val="000000" w:themeColor="text1"/>
          <w:sz w:val="22"/>
          <w:szCs w:val="22"/>
        </w:rPr>
        <w:t xml:space="preserve">artner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Pr="00523821">
        <w:rPr>
          <w:rFonts w:ascii="Calibri Light" w:hAnsi="Calibri Light" w:cs="Calibri Light"/>
          <w:color w:val="000000" w:themeColor="text1"/>
          <w:sz w:val="22"/>
          <w:szCs w:val="22"/>
        </w:rPr>
        <w:t>ssociate, lider Grupy Energy, Resources &amp; Industrials, Deloitte</w:t>
      </w:r>
      <w:r w:rsidRPr="002E6AA2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17513374" w14:textId="5156794F" w:rsidR="001D0330" w:rsidRPr="001D0330" w:rsidRDefault="001F7057" w:rsidP="001D0330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Z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mienia się logika funkcjonowania systemu energetycznego, w którym coraz większą rolę odgrywa elastyczność oraz zdolność do bilansowania zmiennej generacji z OZE. </w:t>
      </w:r>
      <w:r w:rsidR="00C46B61">
        <w:rPr>
          <w:rFonts w:ascii="Calibri Light" w:hAnsi="Calibri Light" w:cs="Calibri Light"/>
          <w:color w:val="000000"/>
          <w:sz w:val="22"/>
          <w:szCs w:val="22"/>
        </w:rPr>
        <w:t>Wiąże się to z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 koniecznoś</w:t>
      </w:r>
      <w:r w:rsidR="00C46B61">
        <w:rPr>
          <w:rFonts w:ascii="Calibri Light" w:hAnsi="Calibri Light" w:cs="Calibri Light"/>
          <w:color w:val="000000"/>
          <w:sz w:val="22"/>
          <w:szCs w:val="22"/>
        </w:rPr>
        <w:t>cią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 integracji różnych źródeł energii oraz rozw</w:t>
      </w:r>
      <w:r w:rsidR="00C36A42">
        <w:rPr>
          <w:rFonts w:ascii="Calibri Light" w:hAnsi="Calibri Light" w:cs="Calibri Light"/>
          <w:color w:val="000000"/>
          <w:sz w:val="22"/>
          <w:szCs w:val="22"/>
        </w:rPr>
        <w:t>ojem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 magazynowania, które stabilizuj</w:t>
      </w:r>
      <w:r w:rsidR="0002274A">
        <w:rPr>
          <w:rFonts w:ascii="Calibri Light" w:hAnsi="Calibri Light" w:cs="Calibri Light"/>
          <w:color w:val="000000"/>
          <w:sz w:val="22"/>
          <w:szCs w:val="22"/>
        </w:rPr>
        <w:t>ą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 pracę systemu i ogranicza</w:t>
      </w:r>
      <w:r w:rsidR="0002274A">
        <w:rPr>
          <w:rFonts w:ascii="Calibri Light" w:hAnsi="Calibri Light" w:cs="Calibri Light"/>
          <w:color w:val="000000"/>
          <w:sz w:val="22"/>
          <w:szCs w:val="22"/>
        </w:rPr>
        <w:t>ją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 ryzyko wahań cenowych. Coraz większego znaczenia nabiera także łączenie sektorów (tzw. sector coupling</w:t>
      </w:r>
      <w:r w:rsidR="0077498E">
        <w:rPr>
          <w:rFonts w:ascii="Calibri Light" w:hAnsi="Calibri Light" w:cs="Calibri Light"/>
          <w:color w:val="000000"/>
          <w:sz w:val="22"/>
          <w:szCs w:val="22"/>
        </w:rPr>
        <w:t xml:space="preserve"> – </w:t>
      </w:r>
      <w:r w:rsidR="0077498E" w:rsidRPr="0077498E">
        <w:rPr>
          <w:rFonts w:ascii="Calibri Light" w:hAnsi="Calibri Light" w:cs="Calibri Light"/>
          <w:color w:val="000000"/>
          <w:sz w:val="22"/>
          <w:szCs w:val="22"/>
        </w:rPr>
        <w:t>integracja elektroenergetyki z ciepłownictwem, transportem i przemysłem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), pozwalające </w:t>
      </w:r>
      <w:r w:rsidR="001F36AF">
        <w:rPr>
          <w:rFonts w:ascii="Calibri Light" w:hAnsi="Calibri Light" w:cs="Calibri Light"/>
          <w:color w:val="000000"/>
          <w:sz w:val="22"/>
          <w:szCs w:val="22"/>
        </w:rPr>
        <w:t>skutecznie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 xml:space="preserve"> wykorzystywać nadwyżki energii.</w:t>
      </w:r>
    </w:p>
    <w:p w14:paraId="212FAF0D" w14:textId="4F18C839" w:rsidR="001D0330" w:rsidRPr="001D0330" w:rsidRDefault="001F7057" w:rsidP="001D0330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O</w:t>
      </w:r>
      <w:r w:rsidR="001D0330" w:rsidRPr="001D0330">
        <w:rPr>
          <w:rFonts w:ascii="Calibri Light" w:hAnsi="Calibri Light" w:cs="Calibri Light"/>
          <w:color w:val="000000"/>
          <w:sz w:val="22"/>
          <w:szCs w:val="22"/>
        </w:rPr>
        <w:t>kres przejściowy wymaga utrzymania stabilnych źródeł mocy, które zabezpieczają ciągłość dostaw w warunkach zmiennej produkcji energii odnawialnej. W dłuższej perspektywie o konkurencyjności będą decydować inwestycje w zaawansowane technologie, takie jak energetyka jądrowa nowej generacji, wodór czy rozwiązania związane z wychwytem emisji, które umożliwiają dekarbonizację przemysłu przy jednoczesnym utrzymaniu jego efektywności kosztowej.</w:t>
      </w:r>
    </w:p>
    <w:p w14:paraId="39AD2D86" w14:textId="0C73669C" w:rsidR="00FD4C74" w:rsidRDefault="00417DEE" w:rsidP="00847BFC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Cyfrowa transformacja energetyki</w:t>
      </w:r>
    </w:p>
    <w:p w14:paraId="4785DEE7" w14:textId="78B73545" w:rsidR="00977817" w:rsidRPr="00977817" w:rsidRDefault="00977817" w:rsidP="0097781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 xml:space="preserve">Wraz ze wzrostem złożoności systemu energetycznego rośnie znaczenie cyfryzacji jako jednego z </w:t>
      </w:r>
      <w:r w:rsidR="007C23DC">
        <w:rPr>
          <w:rFonts w:ascii="Calibri Light" w:hAnsi="Calibri Light" w:cs="Calibri Light"/>
          <w:bCs/>
          <w:color w:val="000000"/>
          <w:sz w:val="22"/>
          <w:szCs w:val="22"/>
        </w:rPr>
        <w:t>filarów</w:t>
      </w: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 xml:space="preserve"> bezpieczeństwa infrastruktury krytycznej. W warunkach wojny hybrydowej, nasilonych cyberataków i rosnącej zależności od danych</w:t>
      </w:r>
      <w:r w:rsidR="005F6D1C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 xml:space="preserve"> cyfrowe rozwiązania wspierają ciągłość dostaw, szybsze reagowanie na incydenty oraz sprawniejsze zarządzanie ryzykiem. </w:t>
      </w:r>
    </w:p>
    <w:p w14:paraId="75C50D1F" w14:textId="597F8E22" w:rsidR="00977817" w:rsidRPr="00977817" w:rsidRDefault="00977817" w:rsidP="0097781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 xml:space="preserve">Skala zagrożeń dobrze pokazuje wagę tego procesu. W 2025 roku w Polsce </w:t>
      </w:r>
      <w:r w:rsidR="00B94798">
        <w:rPr>
          <w:rFonts w:ascii="Calibri Light" w:hAnsi="Calibri Light" w:cs="Calibri Light"/>
          <w:bCs/>
          <w:color w:val="000000"/>
          <w:sz w:val="22"/>
          <w:szCs w:val="22"/>
        </w:rPr>
        <w:t xml:space="preserve">CERT </w:t>
      </w: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>odnotowa</w:t>
      </w:r>
      <w:r w:rsidR="00B94798">
        <w:rPr>
          <w:rFonts w:ascii="Calibri Light" w:hAnsi="Calibri Light" w:cs="Calibri Light"/>
          <w:bCs/>
          <w:color w:val="000000"/>
          <w:sz w:val="22"/>
          <w:szCs w:val="22"/>
        </w:rPr>
        <w:t>ł</w:t>
      </w: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 xml:space="preserve"> 260 tys. cyberincydentów, wobec 120 tys. rok wcześniej</w:t>
      </w:r>
      <w:r w:rsidR="00606F7D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06F7D">
        <w:rPr>
          <w:rFonts w:ascii="Calibri Light" w:hAnsi="Calibri Light" w:cs="Calibri Light"/>
          <w:bCs/>
          <w:color w:val="000000"/>
          <w:sz w:val="22"/>
          <w:szCs w:val="22"/>
        </w:rPr>
        <w:t>J</w:t>
      </w: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 xml:space="preserve">eden z ataków wymierzonych w infrastrukturę energetyczną mógł doprowadzić do blackoutu. 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Dyskusja podczas kongresu pokaza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a, 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e odporno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systemu zale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y od jako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ci architektury cyfrowej, zabezpieczenia urz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dze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ko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cowych oraz gotowo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ci organizacji do reagowania. Szczególne znaczenie ma przy tym czynnik ludzki</w:t>
      </w:r>
      <w:r w:rsidR="00FB3260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212F04">
        <w:rPr>
          <w:rFonts w:ascii="Calibri Light" w:hAnsi="Calibri Light" w:cs="Calibri Light"/>
          <w:bCs/>
          <w:color w:val="000000"/>
          <w:sz w:val="22"/>
          <w:szCs w:val="22"/>
        </w:rPr>
        <w:t>który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najcz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ęś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ciej decyduje o skuteczno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ci lub zawodno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ci ca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ego systemu bezpiecze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stwa. Poziom kompetencji, nawyki oraz 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wiadomo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pracowników przek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adaj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bezpo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rednio na to, czy przyj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te rozwi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zania rzeczywi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cie dzia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>aj</w:t>
      </w:r>
      <w:r w:rsidR="00DB7B41" w:rsidRPr="00DB7B41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DB7B41" w:rsidRPr="00DB7B41">
        <w:rPr>
          <w:rFonts w:ascii="Calibri Light" w:hAnsi="Calibri Light" w:cs="Calibri Light"/>
          <w:bCs/>
          <w:color w:val="000000"/>
          <w:sz w:val="22"/>
          <w:szCs w:val="22"/>
        </w:rPr>
        <w:t xml:space="preserve"> w praktyce.</w:t>
      </w:r>
      <w:r w:rsidR="00260A2C" w:rsidRPr="00260A2C">
        <w:t xml:space="preserve"> 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>To obszar, który wymaga ci</w:t>
      </w:r>
      <w:r w:rsidR="00260A2C" w:rsidRPr="00260A2C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>g</w:t>
      </w:r>
      <w:r w:rsidR="00260A2C" w:rsidRPr="00260A2C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 xml:space="preserve">ej pracy – od budowania </w:t>
      </w:r>
      <w:r w:rsidR="00260A2C" w:rsidRPr="00260A2C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>wiadomo</w:t>
      </w:r>
      <w:r w:rsidR="00260A2C" w:rsidRPr="00260A2C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>ci ju</w:t>
      </w:r>
      <w:r w:rsidR="00260A2C" w:rsidRPr="00260A2C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wczesnych etapach edukacji po rozwijanie wiedzy o potencjalnych zagro</w:t>
      </w:r>
      <w:r w:rsidR="00260A2C" w:rsidRPr="00260A2C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="00260A2C" w:rsidRPr="00260A2C">
        <w:rPr>
          <w:rFonts w:ascii="Calibri Light" w:hAnsi="Calibri Light" w:cs="Calibri Light"/>
          <w:bCs/>
          <w:color w:val="000000"/>
          <w:sz w:val="22"/>
          <w:szCs w:val="22"/>
        </w:rPr>
        <w:t>eniach i sposobach reagowania.</w:t>
      </w:r>
    </w:p>
    <w:p w14:paraId="239549DC" w14:textId="77777777" w:rsidR="00977817" w:rsidRPr="00977817" w:rsidRDefault="00977817" w:rsidP="0097781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77817">
        <w:rPr>
          <w:rFonts w:ascii="Calibri Light" w:hAnsi="Calibri Light" w:cs="Calibri Light"/>
          <w:bCs/>
          <w:color w:val="000000"/>
          <w:sz w:val="22"/>
          <w:szCs w:val="22"/>
        </w:rPr>
        <w:t>Cyfryzacja ma także istotne znaczenie z perspektywy finansowania. Dobre dane, właściwie uporządkowane i interpretowane, pomagają oceniać ryzyko, skalę inwestycji i ich opłacalność. Wymaga to jednak sprawnej współpracy między regulatorem, inwestorem i operatorem, którzy działają w różnych porządkach i potrzebują innych informacji do podejmowania decyzji.</w:t>
      </w:r>
    </w:p>
    <w:p w14:paraId="657658D2" w14:textId="0A30ECFE" w:rsidR="00417DEE" w:rsidRPr="00A12126" w:rsidRDefault="00260A2C" w:rsidP="00A12126">
      <w:pPr>
        <w:spacing w:after="120"/>
        <w:rPr>
          <w:rFonts w:ascii="Calibri Light" w:hAnsi="Calibri Light" w:cs="Calibri Light"/>
          <w:color w:val="000000"/>
          <w:sz w:val="22"/>
          <w:szCs w:val="22"/>
        </w:rPr>
      </w:pP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8A0B3C" w:rsidRPr="008A0B3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Jednym z największych błędów w podejściu do cyberbezpieczeństwa jest działanie post factum, czyli reagowanie dopiero wtedy, gdy incydent już wystąpi. W praktyce oznacza to brak przygotowania na scenariusze, które są nie tylko możliwe, ale w obecnych realiach wręcz nieuniknione. Wiele incydentów zaczyna się od najsłabszych punktów systemu, takich jak urządzenia końcowe czy sterowniki PLC, a powodzenie ataków bardzo często wynika z błędów ludzkich. </w:t>
      </w:r>
      <w:r w:rsidR="001F602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B</w:t>
      </w:r>
      <w:r w:rsidR="008A0B3C" w:rsidRPr="008A0B3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ezpieczeństwo jest w dużej mierze </w:t>
      </w:r>
      <w:r w:rsidR="001F602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kwestią </w:t>
      </w:r>
      <w:r w:rsidR="008A0B3C" w:rsidRPr="008A0B3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kompetencji i świadomości pracowników. W przypadku infrastruktury krytycznej, jak energetyka i ciepłownictwo</w:t>
      </w:r>
      <w:r w:rsidR="00316B4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błędy są wyjątkowo dotkliwe.</w:t>
      </w:r>
      <w:r w:rsidR="00D869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Dlatego znacznie lepiej jest</w:t>
      </w:r>
      <w:r w:rsidR="008A0B3C" w:rsidRPr="008A0B3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inwestowa</w:t>
      </w:r>
      <w:r w:rsidR="00D8697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ć </w:t>
      </w:r>
      <w:r w:rsidR="008A0B3C" w:rsidRPr="008A0B3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 edukację i podejście wyprzedzające, które pozwala ograniczać ryzyka, zanim się zmaterializują</w:t>
      </w:r>
      <w:r w:rsidR="008A0B3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>–</w:t>
      </w:r>
      <w:r w:rsidRPr="002D22C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9B7F99">
        <w:rPr>
          <w:rFonts w:ascii="Calibri Light" w:hAnsi="Calibri Light" w:cs="Calibri Light"/>
          <w:color w:val="000000" w:themeColor="text1"/>
          <w:sz w:val="22"/>
          <w:szCs w:val="22"/>
        </w:rPr>
        <w:t>mówi</w:t>
      </w:r>
      <w:r w:rsidRPr="2528418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A12126" w:rsidRPr="00A12126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Krzysztof Witczak, </w:t>
      </w:r>
      <w:r w:rsidR="00A12126">
        <w:rPr>
          <w:rFonts w:ascii="Calibri Light" w:hAnsi="Calibri Light" w:cs="Calibri Light"/>
          <w:color w:val="000000" w:themeColor="text1"/>
          <w:sz w:val="22"/>
          <w:szCs w:val="22"/>
        </w:rPr>
        <w:t>p</w:t>
      </w:r>
      <w:r w:rsidR="00A12126" w:rsidRPr="00A12126">
        <w:rPr>
          <w:rFonts w:ascii="Calibri Light" w:hAnsi="Calibri Light" w:cs="Calibri Light"/>
          <w:color w:val="000000" w:themeColor="text1"/>
          <w:sz w:val="22"/>
          <w:szCs w:val="22"/>
        </w:rPr>
        <w:t>artner ds. rozwoju biznesu SAP, Deloitte</w:t>
      </w:r>
      <w:r w:rsidR="00A12126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4702FBDE" w14:textId="6D8157E8" w:rsidR="0031243C" w:rsidRDefault="000F4315" w:rsidP="006936FA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Perspektywa regulacyjna</w:t>
      </w:r>
    </w:p>
    <w:p w14:paraId="0DA3C98A" w14:textId="120086A5" w:rsidR="00E311A8" w:rsidRPr="00E311A8" w:rsidRDefault="00E311A8" w:rsidP="00E311A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Europejski przemys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dzia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a pod presj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kosztów energii i jednocze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nie musi dostosowa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do wymaga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rodowiskowych, które w wielu bran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ach decyd</w:t>
      </w:r>
      <w:r w:rsidR="003F69AD">
        <w:rPr>
          <w:rFonts w:ascii="Calibri Light" w:hAnsi="Calibri Light" w:cs="Calibri Light"/>
          <w:bCs/>
          <w:color w:val="000000"/>
          <w:sz w:val="22"/>
          <w:szCs w:val="22"/>
        </w:rPr>
        <w:t>ują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o mo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liwo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ci utrzymania si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rynkach.</w:t>
      </w:r>
      <w:r w:rsidR="00B3241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0114A2">
        <w:rPr>
          <w:rFonts w:ascii="Calibri Light" w:hAnsi="Calibri Light" w:cs="Calibri Light"/>
          <w:bCs/>
          <w:color w:val="000000"/>
          <w:sz w:val="22"/>
          <w:szCs w:val="22"/>
        </w:rPr>
        <w:t xml:space="preserve">W ostatnich miesiącach można zaobserwować, że </w:t>
      </w:r>
      <w:r w:rsidR="00B3241E" w:rsidRPr="00E311A8">
        <w:rPr>
          <w:rFonts w:ascii="Calibri Light" w:hAnsi="Calibri Light" w:cs="Calibri Light"/>
          <w:bCs/>
          <w:color w:val="000000"/>
          <w:sz w:val="22"/>
          <w:szCs w:val="22"/>
        </w:rPr>
        <w:t>tempo zmian gospodarczych i geopolitycznych wyra</w:t>
      </w:r>
      <w:r w:rsidR="00B3241E"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ź</w:t>
      </w:r>
      <w:r w:rsidR="00B3241E" w:rsidRPr="00E311A8">
        <w:rPr>
          <w:rFonts w:ascii="Calibri Light" w:hAnsi="Calibri Light" w:cs="Calibri Light"/>
          <w:bCs/>
          <w:color w:val="000000"/>
          <w:sz w:val="22"/>
          <w:szCs w:val="22"/>
        </w:rPr>
        <w:t>nie wyprzedza</w:t>
      </w:r>
      <w:r w:rsidR="00CA4487">
        <w:rPr>
          <w:rFonts w:ascii="Calibri Light" w:hAnsi="Calibri Light" w:cs="Calibri Light"/>
          <w:bCs/>
          <w:color w:val="000000"/>
          <w:sz w:val="22"/>
          <w:szCs w:val="22"/>
        </w:rPr>
        <w:t xml:space="preserve"> ramy regulacyjne</w:t>
      </w:r>
      <w:r w:rsidR="00B3241E" w:rsidRPr="00E311A8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66311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A05F02">
        <w:rPr>
          <w:rFonts w:ascii="Calibri Light" w:hAnsi="Calibri Light" w:cs="Calibri Light"/>
          <w:bCs/>
          <w:color w:val="000000"/>
          <w:sz w:val="22"/>
          <w:szCs w:val="22"/>
        </w:rPr>
        <w:t>Natomiast o</w:t>
      </w:r>
      <w:r w:rsidR="00A069B4">
        <w:rPr>
          <w:rFonts w:ascii="Calibri Light" w:hAnsi="Calibri Light" w:cs="Calibri Light"/>
          <w:bCs/>
          <w:color w:val="000000"/>
          <w:sz w:val="22"/>
          <w:szCs w:val="22"/>
        </w:rPr>
        <w:t>statnie z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miany regulacyjne pokaza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y, jak dynamiczne i niejednoznaczne sta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o si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to otoczenie. Korekty wprowadzone przez Komisj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Europejsk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w ramach pakietu Omnibus ograniczy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y zakres obowi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zków raportowych, w tym w obszarze CSRD i taksonomii, zmniejszaj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c liczb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podmiotów obj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tych pe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nym raportowaniem nawet o oko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o 80</w:t>
      </w:r>
      <w:r w:rsidR="001657C5">
        <w:rPr>
          <w:rFonts w:ascii="Calibri Light" w:hAnsi="Calibri Light" w:cs="Calibri Light"/>
          <w:bCs/>
          <w:color w:val="000000"/>
          <w:sz w:val="22"/>
          <w:szCs w:val="22"/>
        </w:rPr>
        <w:t xml:space="preserve"> proc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</w:p>
    <w:p w14:paraId="01D669CA" w14:textId="0F8E11DF" w:rsidR="00E311A8" w:rsidRPr="00E311A8" w:rsidRDefault="004E1300" w:rsidP="00E311A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E311A8"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Mamy dzi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do czynienia z sytuacj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w której zmiany regulacyjne zachodz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bardzo szybko, a </w:t>
      </w:r>
      <w:r w:rsidR="006E657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przy tym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nak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adaj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si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 niestabilne otoczenie geopolityczne. </w:t>
      </w:r>
      <w:r w:rsidR="005E472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Kilka tygodni temu zmiany w p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akie</w:t>
      </w:r>
      <w:r w:rsidR="005E472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cie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Omnibus istotnie ograniczy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5E472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zakres obowi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zkowego raportowania, co prze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y si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 wyra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ź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ne zró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nicowanie postaw firm. W praktyce </w:t>
      </w:r>
      <w:r w:rsidR="003B244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wyłonią się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grupy: organizacje, które nadal raportuj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i rozwijaj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swoje podej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cie, firmy dostrzegaj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ce w tym warto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ść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biznesow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oraz te, które wraz ze zmian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regulacji ograniczaj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dzia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ania. To, jak firmy </w:t>
      </w:r>
      <w:r w:rsidR="00C90BA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podejdą do tego zagadnienia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, zale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ż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y od </w:t>
      </w:r>
      <w:r w:rsidR="00B47018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ich strategii 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 dojrza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ł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</w:t>
      </w:r>
      <w:r w:rsidR="00E311A8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E311A8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ci</w:t>
      </w:r>
      <w:r w:rsidR="00C90BA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. </w:t>
      </w:r>
      <w:r w:rsidR="007321AA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Przy czym w</w:t>
      </w:r>
      <w:r w:rsidR="001E276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arto </w:t>
      </w:r>
      <w:r w:rsidR="00754D92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podkreślić</w:t>
      </w:r>
      <w:r w:rsidR="001E276C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że </w:t>
      </w:r>
      <w:r w:rsidR="00253AB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egulacje </w:t>
      </w:r>
      <w:r w:rsidR="00C90BA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z założenia 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nie </w:t>
      </w:r>
      <w:r w:rsidR="00C90BA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są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narz</w:t>
      </w:r>
      <w:r w:rsidR="00C90BA9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ę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dziem wspierania biznesu – </w:t>
      </w:r>
      <w:r w:rsidR="00253AB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raczej 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wyznaczaj</w:t>
      </w:r>
      <w:r w:rsidR="00C90BA9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253AB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one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ramy funkcjonowania rynku, chroni</w:t>
      </w:r>
      <w:r w:rsidR="00C90BA9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C90BA9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ś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rodowisko i ograniczaj</w:t>
      </w:r>
      <w:r w:rsidR="00C90BA9" w:rsidRPr="004E1300">
        <w:rPr>
          <w:rFonts w:ascii="Calibri Light" w:hAnsi="Calibri Light" w:cs="Calibri Light" w:hint="eastAsia"/>
          <w:bCs/>
          <w:i/>
          <w:iCs/>
          <w:color w:val="000000"/>
          <w:sz w:val="22"/>
          <w:szCs w:val="22"/>
        </w:rPr>
        <w:t>ą</w:t>
      </w:r>
      <w:r w:rsidR="00C90BA9" w:rsidRPr="004E130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8A494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asymetri</w:t>
      </w:r>
      <w:r w:rsidR="00D66957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ę informacji, s</w:t>
      </w:r>
      <w:r w:rsidR="00BD5C83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ą narzędziem </w:t>
      </w:r>
      <w:r w:rsidR="00B034D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do osiągania określonych celów gospodarczych i </w:t>
      </w:r>
      <w:r w:rsidR="00725FD4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społecznych</w:t>
      </w:r>
      <w:r w:rsidR="00C90BA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E311A8"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="001C4382">
        <w:rPr>
          <w:rFonts w:ascii="Calibri Light" w:hAnsi="Calibri Light" w:cs="Calibri Light"/>
          <w:bCs/>
          <w:color w:val="000000"/>
          <w:sz w:val="22"/>
          <w:szCs w:val="22"/>
        </w:rPr>
        <w:t>dodaje</w:t>
      </w:r>
      <w:r w:rsidR="00E311A8"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E311A8" w:rsidRPr="001C4382">
        <w:rPr>
          <w:rFonts w:ascii="Calibri Light" w:hAnsi="Calibri Light" w:cs="Calibri Light"/>
          <w:b/>
          <w:color w:val="000000"/>
          <w:sz w:val="22"/>
          <w:szCs w:val="22"/>
        </w:rPr>
        <w:t>Julia Patorska</w:t>
      </w:r>
      <w:r w:rsidR="00E311A8"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1C4382">
        <w:rPr>
          <w:rFonts w:ascii="Calibri Light" w:hAnsi="Calibri Light" w:cs="Calibri Light"/>
          <w:bCs/>
          <w:color w:val="000000"/>
          <w:sz w:val="22"/>
          <w:szCs w:val="22"/>
        </w:rPr>
        <w:t>p</w:t>
      </w:r>
      <w:r w:rsidR="001C4382" w:rsidRPr="001C4382">
        <w:rPr>
          <w:rFonts w:ascii="Calibri Light" w:hAnsi="Calibri Light" w:cs="Calibri Light"/>
          <w:bCs/>
          <w:color w:val="000000"/>
          <w:sz w:val="22"/>
          <w:szCs w:val="22"/>
        </w:rPr>
        <w:t>artnerka, CE Sustainability &amp; Climate Leader, Deloitte</w:t>
      </w:r>
      <w:r w:rsidR="00E311A8" w:rsidRPr="00E311A8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6D7D3DD8" w14:textId="19E65A4D" w:rsidR="00E311A8" w:rsidRDefault="00E311A8" w:rsidP="00E311A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To zró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nicowanie podej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widoczne jest równie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w obszarze inwestycji. Wymagania wynikaj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ce z taksonomii unijnej obejmuj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dzi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nie tylko poziom emisji czy efektywno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energetyczn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, ale tak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e wp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yw projektów na 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rodowisko, spo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ecze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stwo oraz ich odporno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ryzyka klimatyczne. W praktyce oznacza to, 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e zgodno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z tymi kryteriami staje si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warunkiem dost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pu do finansowania lub wp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ywa na jego koszt.</w:t>
      </w:r>
    </w:p>
    <w:p w14:paraId="2691E7A1" w14:textId="4B89BB89" w:rsidR="00E311A8" w:rsidRPr="00E311A8" w:rsidRDefault="00E311A8" w:rsidP="00E311A8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W wielu sektorach, szczególnie wysokoemisyjnych, brak spe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nienia tych wymaga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ń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ju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na etapie planowania inwestycji mo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e ogranicza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mo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liwo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pozyskania kapita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u lub znacz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co pogarsza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ć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jego warunki. Z tego powodu coraz wi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ksze znaczenie ma uwzgl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dnianie kryteriów zrównowa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onego rozwoju na wczesnym etapie przygotowania projektów</w:t>
      </w:r>
      <w:r w:rsidR="00913F44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 xml:space="preserve"> jeszcze przed podj</w:t>
      </w:r>
      <w:r w:rsidRPr="00E311A8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E311A8">
        <w:rPr>
          <w:rFonts w:ascii="Calibri Light" w:hAnsi="Calibri Light" w:cs="Calibri Light"/>
          <w:bCs/>
          <w:color w:val="000000"/>
          <w:sz w:val="22"/>
          <w:szCs w:val="22"/>
        </w:rPr>
        <w:t>ciem decyzji inwestycyjnej.</w:t>
      </w:r>
    </w:p>
    <w:p w14:paraId="3E60DF55" w14:textId="227694EF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8A216B">
        <w:rPr>
          <w:rFonts w:ascii="Calibri Light" w:hAnsi="Calibri Light" w:cs="Calibri Light"/>
          <w:sz w:val="18"/>
          <w:szCs w:val="18"/>
        </w:rPr>
        <w:lastRenderedPageBreak/>
        <w:t>Otrzymuj powiadomienia o kolejnych informacjach prasowych Deloitte na stronie:</w:t>
      </w:r>
      <w:r w:rsidRPr="008A216B">
        <w:rPr>
          <w:rFonts w:ascii="Calibri Light" w:hAnsi="Calibri Light" w:cs="Calibri Light"/>
          <w:sz w:val="18"/>
          <w:szCs w:val="18"/>
        </w:rPr>
        <w:br/>
      </w:r>
      <w:hyperlink r:id="rId11" w:tooltip="blocked::http://www.deloitte.com/pl/subskrypcje" w:history="1">
        <w:r w:rsidR="00FD5263" w:rsidRPr="008A216B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D2C3" w14:textId="77777777" w:rsidR="005F1710" w:rsidRPr="008A216B" w:rsidRDefault="005F1710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2703F282" w14:textId="77777777" w:rsidR="005F1710" w:rsidRPr="008A216B" w:rsidRDefault="005F1710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5BB68647" w14:textId="77777777" w:rsidR="005F1710" w:rsidRDefault="005F17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9119" w14:textId="5E539A71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8301" w14:textId="77777777" w:rsidR="005F1710" w:rsidRPr="008A216B" w:rsidRDefault="005F1710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62455AAB" w14:textId="77777777" w:rsidR="005F1710" w:rsidRPr="008A216B" w:rsidRDefault="005F1710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30A846CC" w14:textId="77777777" w:rsidR="005F1710" w:rsidRDefault="005F17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C3B23"/>
    <w:multiLevelType w:val="multilevel"/>
    <w:tmpl w:val="D47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63E9B"/>
    <w:multiLevelType w:val="multilevel"/>
    <w:tmpl w:val="20C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44F31"/>
    <w:multiLevelType w:val="hybridMultilevel"/>
    <w:tmpl w:val="9728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0466F12"/>
    <w:multiLevelType w:val="hybridMultilevel"/>
    <w:tmpl w:val="87CC0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9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10"/>
  </w:num>
  <w:num w:numId="6" w16cid:durableId="461922195">
    <w:abstractNumId w:val="11"/>
  </w:num>
  <w:num w:numId="7" w16cid:durableId="994526903">
    <w:abstractNumId w:val="2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3"/>
  </w:num>
  <w:num w:numId="11" w16cid:durableId="763526987">
    <w:abstractNumId w:val="3"/>
  </w:num>
  <w:num w:numId="12" w16cid:durableId="1430127313">
    <w:abstractNumId w:val="15"/>
  </w:num>
  <w:num w:numId="13" w16cid:durableId="1417480627">
    <w:abstractNumId w:val="5"/>
  </w:num>
  <w:num w:numId="14" w16cid:durableId="1979260537">
    <w:abstractNumId w:val="8"/>
  </w:num>
  <w:num w:numId="15" w16cid:durableId="1351301703">
    <w:abstractNumId w:val="12"/>
  </w:num>
  <w:num w:numId="16" w16cid:durableId="1103914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268"/>
    <w:rsid w:val="00000453"/>
    <w:rsid w:val="00000BE6"/>
    <w:rsid w:val="0000148F"/>
    <w:rsid w:val="0000303E"/>
    <w:rsid w:val="00003494"/>
    <w:rsid w:val="00003BC4"/>
    <w:rsid w:val="00003E9F"/>
    <w:rsid w:val="000057F5"/>
    <w:rsid w:val="0000591F"/>
    <w:rsid w:val="00005B55"/>
    <w:rsid w:val="00006577"/>
    <w:rsid w:val="00006D37"/>
    <w:rsid w:val="000114A2"/>
    <w:rsid w:val="000121EC"/>
    <w:rsid w:val="00012A9D"/>
    <w:rsid w:val="00013BEF"/>
    <w:rsid w:val="00015A01"/>
    <w:rsid w:val="00015EE1"/>
    <w:rsid w:val="0001623E"/>
    <w:rsid w:val="00017BAC"/>
    <w:rsid w:val="00017C92"/>
    <w:rsid w:val="00017FAA"/>
    <w:rsid w:val="00020DDE"/>
    <w:rsid w:val="00021ABF"/>
    <w:rsid w:val="00021BAA"/>
    <w:rsid w:val="00021CB7"/>
    <w:rsid w:val="00021CC2"/>
    <w:rsid w:val="00022005"/>
    <w:rsid w:val="0002274A"/>
    <w:rsid w:val="00022C89"/>
    <w:rsid w:val="00023CF5"/>
    <w:rsid w:val="000249A2"/>
    <w:rsid w:val="00025D57"/>
    <w:rsid w:val="000278A4"/>
    <w:rsid w:val="00031520"/>
    <w:rsid w:val="00033C3B"/>
    <w:rsid w:val="00034400"/>
    <w:rsid w:val="00035FBC"/>
    <w:rsid w:val="00036273"/>
    <w:rsid w:val="0003684C"/>
    <w:rsid w:val="00036D85"/>
    <w:rsid w:val="0003744F"/>
    <w:rsid w:val="000406B1"/>
    <w:rsid w:val="00040DA9"/>
    <w:rsid w:val="00040F06"/>
    <w:rsid w:val="000424C8"/>
    <w:rsid w:val="000426FA"/>
    <w:rsid w:val="00042DC2"/>
    <w:rsid w:val="000431A4"/>
    <w:rsid w:val="00044058"/>
    <w:rsid w:val="0004456C"/>
    <w:rsid w:val="00044CFB"/>
    <w:rsid w:val="00044FCF"/>
    <w:rsid w:val="0004596D"/>
    <w:rsid w:val="000501A1"/>
    <w:rsid w:val="00050259"/>
    <w:rsid w:val="00051F56"/>
    <w:rsid w:val="0005278C"/>
    <w:rsid w:val="000537C7"/>
    <w:rsid w:val="000538AD"/>
    <w:rsid w:val="000541CD"/>
    <w:rsid w:val="00054B68"/>
    <w:rsid w:val="0005548A"/>
    <w:rsid w:val="00056342"/>
    <w:rsid w:val="00056818"/>
    <w:rsid w:val="000575B7"/>
    <w:rsid w:val="00057DAD"/>
    <w:rsid w:val="000605A4"/>
    <w:rsid w:val="0006066A"/>
    <w:rsid w:val="00060B56"/>
    <w:rsid w:val="00060BED"/>
    <w:rsid w:val="00060C07"/>
    <w:rsid w:val="00061835"/>
    <w:rsid w:val="00062992"/>
    <w:rsid w:val="00062B46"/>
    <w:rsid w:val="00062C7B"/>
    <w:rsid w:val="0006342B"/>
    <w:rsid w:val="00064914"/>
    <w:rsid w:val="00066D56"/>
    <w:rsid w:val="000718C5"/>
    <w:rsid w:val="00072521"/>
    <w:rsid w:val="000727E5"/>
    <w:rsid w:val="000744DF"/>
    <w:rsid w:val="00074D2E"/>
    <w:rsid w:val="00074F8C"/>
    <w:rsid w:val="0007523A"/>
    <w:rsid w:val="000755B6"/>
    <w:rsid w:val="00076349"/>
    <w:rsid w:val="00076479"/>
    <w:rsid w:val="00077F10"/>
    <w:rsid w:val="0008042F"/>
    <w:rsid w:val="000808C1"/>
    <w:rsid w:val="00080AA6"/>
    <w:rsid w:val="00082D16"/>
    <w:rsid w:val="000839C8"/>
    <w:rsid w:val="00085D8C"/>
    <w:rsid w:val="00086A4A"/>
    <w:rsid w:val="00092633"/>
    <w:rsid w:val="00093371"/>
    <w:rsid w:val="000934AF"/>
    <w:rsid w:val="00093795"/>
    <w:rsid w:val="00094C2C"/>
    <w:rsid w:val="00094FA5"/>
    <w:rsid w:val="000956B6"/>
    <w:rsid w:val="000958B0"/>
    <w:rsid w:val="00096560"/>
    <w:rsid w:val="00097006"/>
    <w:rsid w:val="00097271"/>
    <w:rsid w:val="0009728D"/>
    <w:rsid w:val="00097FC9"/>
    <w:rsid w:val="000A0D06"/>
    <w:rsid w:val="000A172C"/>
    <w:rsid w:val="000A1D1F"/>
    <w:rsid w:val="000A1F93"/>
    <w:rsid w:val="000A21CF"/>
    <w:rsid w:val="000A2FBF"/>
    <w:rsid w:val="000A36E0"/>
    <w:rsid w:val="000A4E82"/>
    <w:rsid w:val="000A52CC"/>
    <w:rsid w:val="000A5C83"/>
    <w:rsid w:val="000A708F"/>
    <w:rsid w:val="000A74EB"/>
    <w:rsid w:val="000B1A07"/>
    <w:rsid w:val="000B1EA7"/>
    <w:rsid w:val="000B26DE"/>
    <w:rsid w:val="000B37E6"/>
    <w:rsid w:val="000B636C"/>
    <w:rsid w:val="000B702E"/>
    <w:rsid w:val="000B7E22"/>
    <w:rsid w:val="000B7FBA"/>
    <w:rsid w:val="000B7FD7"/>
    <w:rsid w:val="000C04C7"/>
    <w:rsid w:val="000C0E1E"/>
    <w:rsid w:val="000C1C08"/>
    <w:rsid w:val="000C282B"/>
    <w:rsid w:val="000C28AB"/>
    <w:rsid w:val="000C3F42"/>
    <w:rsid w:val="000C5422"/>
    <w:rsid w:val="000C667A"/>
    <w:rsid w:val="000C67D8"/>
    <w:rsid w:val="000D00FB"/>
    <w:rsid w:val="000D0117"/>
    <w:rsid w:val="000D0C3D"/>
    <w:rsid w:val="000D18C8"/>
    <w:rsid w:val="000D1A9F"/>
    <w:rsid w:val="000D1AA8"/>
    <w:rsid w:val="000D32C8"/>
    <w:rsid w:val="000D399F"/>
    <w:rsid w:val="000D570A"/>
    <w:rsid w:val="000D73E6"/>
    <w:rsid w:val="000E01DC"/>
    <w:rsid w:val="000E08EF"/>
    <w:rsid w:val="000E17B4"/>
    <w:rsid w:val="000E1EE6"/>
    <w:rsid w:val="000E1F2E"/>
    <w:rsid w:val="000E1FB9"/>
    <w:rsid w:val="000E3745"/>
    <w:rsid w:val="000E3E05"/>
    <w:rsid w:val="000E4C92"/>
    <w:rsid w:val="000E5143"/>
    <w:rsid w:val="000E53C8"/>
    <w:rsid w:val="000E57FB"/>
    <w:rsid w:val="000E5968"/>
    <w:rsid w:val="000E62C3"/>
    <w:rsid w:val="000E67B5"/>
    <w:rsid w:val="000F01BA"/>
    <w:rsid w:val="000F029A"/>
    <w:rsid w:val="000F02DB"/>
    <w:rsid w:val="000F1DF9"/>
    <w:rsid w:val="000F298B"/>
    <w:rsid w:val="000F4019"/>
    <w:rsid w:val="000F4315"/>
    <w:rsid w:val="000F5684"/>
    <w:rsid w:val="000F7CDF"/>
    <w:rsid w:val="0010113E"/>
    <w:rsid w:val="00102DC7"/>
    <w:rsid w:val="00103056"/>
    <w:rsid w:val="00104A8F"/>
    <w:rsid w:val="00107CEA"/>
    <w:rsid w:val="00107DDD"/>
    <w:rsid w:val="001111FB"/>
    <w:rsid w:val="00111BBE"/>
    <w:rsid w:val="00113AE0"/>
    <w:rsid w:val="0011460F"/>
    <w:rsid w:val="00114CBB"/>
    <w:rsid w:val="00117CEF"/>
    <w:rsid w:val="00121BDF"/>
    <w:rsid w:val="00122372"/>
    <w:rsid w:val="001236E1"/>
    <w:rsid w:val="00123DA9"/>
    <w:rsid w:val="0012453C"/>
    <w:rsid w:val="001247A1"/>
    <w:rsid w:val="00124B63"/>
    <w:rsid w:val="001252E7"/>
    <w:rsid w:val="001254F1"/>
    <w:rsid w:val="00126302"/>
    <w:rsid w:val="00126303"/>
    <w:rsid w:val="00126911"/>
    <w:rsid w:val="00126F3E"/>
    <w:rsid w:val="00127FF9"/>
    <w:rsid w:val="00130041"/>
    <w:rsid w:val="00130EAB"/>
    <w:rsid w:val="00130ED4"/>
    <w:rsid w:val="001327AC"/>
    <w:rsid w:val="00133403"/>
    <w:rsid w:val="0013516A"/>
    <w:rsid w:val="00135BDF"/>
    <w:rsid w:val="00137433"/>
    <w:rsid w:val="00137C12"/>
    <w:rsid w:val="00140E82"/>
    <w:rsid w:val="001413A1"/>
    <w:rsid w:val="001414A0"/>
    <w:rsid w:val="001414FD"/>
    <w:rsid w:val="00141B81"/>
    <w:rsid w:val="00143670"/>
    <w:rsid w:val="00143991"/>
    <w:rsid w:val="00147E45"/>
    <w:rsid w:val="00152914"/>
    <w:rsid w:val="00153BA1"/>
    <w:rsid w:val="0015735E"/>
    <w:rsid w:val="00157CCF"/>
    <w:rsid w:val="0016056F"/>
    <w:rsid w:val="00161193"/>
    <w:rsid w:val="00163CA1"/>
    <w:rsid w:val="00164702"/>
    <w:rsid w:val="001649D8"/>
    <w:rsid w:val="001653D2"/>
    <w:rsid w:val="00165672"/>
    <w:rsid w:val="001657C5"/>
    <w:rsid w:val="0016632E"/>
    <w:rsid w:val="0016653A"/>
    <w:rsid w:val="0016765C"/>
    <w:rsid w:val="001711A7"/>
    <w:rsid w:val="0017280E"/>
    <w:rsid w:val="00172D0F"/>
    <w:rsid w:val="00173A0B"/>
    <w:rsid w:val="0017419F"/>
    <w:rsid w:val="0017501E"/>
    <w:rsid w:val="001751D6"/>
    <w:rsid w:val="001752EB"/>
    <w:rsid w:val="00175A74"/>
    <w:rsid w:val="001763DF"/>
    <w:rsid w:val="00176907"/>
    <w:rsid w:val="00176A57"/>
    <w:rsid w:val="00176AE3"/>
    <w:rsid w:val="001800D8"/>
    <w:rsid w:val="00180C20"/>
    <w:rsid w:val="0018117B"/>
    <w:rsid w:val="00181B93"/>
    <w:rsid w:val="001823A6"/>
    <w:rsid w:val="001831D4"/>
    <w:rsid w:val="00183701"/>
    <w:rsid w:val="00183706"/>
    <w:rsid w:val="001849C7"/>
    <w:rsid w:val="001851CC"/>
    <w:rsid w:val="00185BF5"/>
    <w:rsid w:val="001861F5"/>
    <w:rsid w:val="00186D5D"/>
    <w:rsid w:val="00190CF9"/>
    <w:rsid w:val="00190D69"/>
    <w:rsid w:val="001912F1"/>
    <w:rsid w:val="00191ECA"/>
    <w:rsid w:val="00193E99"/>
    <w:rsid w:val="001949BF"/>
    <w:rsid w:val="00195226"/>
    <w:rsid w:val="00196478"/>
    <w:rsid w:val="001A0202"/>
    <w:rsid w:val="001A1A81"/>
    <w:rsid w:val="001A331B"/>
    <w:rsid w:val="001A4E2E"/>
    <w:rsid w:val="001A67A4"/>
    <w:rsid w:val="001A6966"/>
    <w:rsid w:val="001A7177"/>
    <w:rsid w:val="001A76A2"/>
    <w:rsid w:val="001B0032"/>
    <w:rsid w:val="001B1212"/>
    <w:rsid w:val="001B14DA"/>
    <w:rsid w:val="001B1906"/>
    <w:rsid w:val="001B2809"/>
    <w:rsid w:val="001B61A5"/>
    <w:rsid w:val="001B7A51"/>
    <w:rsid w:val="001B7BBE"/>
    <w:rsid w:val="001C0919"/>
    <w:rsid w:val="001C2A32"/>
    <w:rsid w:val="001C2CD5"/>
    <w:rsid w:val="001C2F64"/>
    <w:rsid w:val="001C351E"/>
    <w:rsid w:val="001C3E64"/>
    <w:rsid w:val="001C4382"/>
    <w:rsid w:val="001C4D6E"/>
    <w:rsid w:val="001C59F0"/>
    <w:rsid w:val="001C6066"/>
    <w:rsid w:val="001C6A3E"/>
    <w:rsid w:val="001C6F13"/>
    <w:rsid w:val="001D0330"/>
    <w:rsid w:val="001D0891"/>
    <w:rsid w:val="001D264F"/>
    <w:rsid w:val="001D31A8"/>
    <w:rsid w:val="001D3742"/>
    <w:rsid w:val="001D3914"/>
    <w:rsid w:val="001D7AEE"/>
    <w:rsid w:val="001E276C"/>
    <w:rsid w:val="001E2D44"/>
    <w:rsid w:val="001E341F"/>
    <w:rsid w:val="001E3759"/>
    <w:rsid w:val="001E3D53"/>
    <w:rsid w:val="001E56B8"/>
    <w:rsid w:val="001E5F12"/>
    <w:rsid w:val="001E6AD5"/>
    <w:rsid w:val="001E7146"/>
    <w:rsid w:val="001E7BDD"/>
    <w:rsid w:val="001F2D54"/>
    <w:rsid w:val="001F36AF"/>
    <w:rsid w:val="001F37F3"/>
    <w:rsid w:val="001F3A4D"/>
    <w:rsid w:val="001F5789"/>
    <w:rsid w:val="001F5C65"/>
    <w:rsid w:val="001F6023"/>
    <w:rsid w:val="001F608E"/>
    <w:rsid w:val="001F6FA0"/>
    <w:rsid w:val="001F7057"/>
    <w:rsid w:val="002001C9"/>
    <w:rsid w:val="002012A9"/>
    <w:rsid w:val="00201475"/>
    <w:rsid w:val="0020310D"/>
    <w:rsid w:val="00203FEA"/>
    <w:rsid w:val="002045B3"/>
    <w:rsid w:val="0020525B"/>
    <w:rsid w:val="002054EA"/>
    <w:rsid w:val="002059FE"/>
    <w:rsid w:val="00206B66"/>
    <w:rsid w:val="00206FFF"/>
    <w:rsid w:val="00207011"/>
    <w:rsid w:val="002072CD"/>
    <w:rsid w:val="00207368"/>
    <w:rsid w:val="002074EF"/>
    <w:rsid w:val="00210F9B"/>
    <w:rsid w:val="002119AE"/>
    <w:rsid w:val="00211C78"/>
    <w:rsid w:val="002128EC"/>
    <w:rsid w:val="00212F04"/>
    <w:rsid w:val="0021453B"/>
    <w:rsid w:val="002178F0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BB2"/>
    <w:rsid w:val="00226D38"/>
    <w:rsid w:val="00227073"/>
    <w:rsid w:val="002315F9"/>
    <w:rsid w:val="002327B3"/>
    <w:rsid w:val="0023322C"/>
    <w:rsid w:val="0023447E"/>
    <w:rsid w:val="0023767B"/>
    <w:rsid w:val="00240FA2"/>
    <w:rsid w:val="0024128E"/>
    <w:rsid w:val="00241EC9"/>
    <w:rsid w:val="002428A1"/>
    <w:rsid w:val="0024297F"/>
    <w:rsid w:val="00242A41"/>
    <w:rsid w:val="00243430"/>
    <w:rsid w:val="00243CBF"/>
    <w:rsid w:val="00244896"/>
    <w:rsid w:val="00244AEE"/>
    <w:rsid w:val="0024520B"/>
    <w:rsid w:val="0024532B"/>
    <w:rsid w:val="00245D61"/>
    <w:rsid w:val="002464BA"/>
    <w:rsid w:val="00246A54"/>
    <w:rsid w:val="00246C23"/>
    <w:rsid w:val="00247C34"/>
    <w:rsid w:val="002508FB"/>
    <w:rsid w:val="00251A0A"/>
    <w:rsid w:val="00252AD1"/>
    <w:rsid w:val="00253786"/>
    <w:rsid w:val="00253ABE"/>
    <w:rsid w:val="00253F0E"/>
    <w:rsid w:val="002551FE"/>
    <w:rsid w:val="00257449"/>
    <w:rsid w:val="00257E6B"/>
    <w:rsid w:val="0026036F"/>
    <w:rsid w:val="002608CE"/>
    <w:rsid w:val="00260A2C"/>
    <w:rsid w:val="00260A95"/>
    <w:rsid w:val="002624D7"/>
    <w:rsid w:val="00262961"/>
    <w:rsid w:val="00262E70"/>
    <w:rsid w:val="00263396"/>
    <w:rsid w:val="00264153"/>
    <w:rsid w:val="002645A9"/>
    <w:rsid w:val="00265A23"/>
    <w:rsid w:val="00265AEF"/>
    <w:rsid w:val="00266690"/>
    <w:rsid w:val="002673D9"/>
    <w:rsid w:val="002676C0"/>
    <w:rsid w:val="00270300"/>
    <w:rsid w:val="00271FA2"/>
    <w:rsid w:val="00271FB2"/>
    <w:rsid w:val="002724C8"/>
    <w:rsid w:val="00273EB6"/>
    <w:rsid w:val="002745B4"/>
    <w:rsid w:val="00275550"/>
    <w:rsid w:val="00275DCF"/>
    <w:rsid w:val="0027782C"/>
    <w:rsid w:val="00277955"/>
    <w:rsid w:val="00277B88"/>
    <w:rsid w:val="002804F6"/>
    <w:rsid w:val="00280D79"/>
    <w:rsid w:val="00283DB0"/>
    <w:rsid w:val="002852EF"/>
    <w:rsid w:val="00285E09"/>
    <w:rsid w:val="002867DE"/>
    <w:rsid w:val="00286CE0"/>
    <w:rsid w:val="00286ED4"/>
    <w:rsid w:val="002873F6"/>
    <w:rsid w:val="00287689"/>
    <w:rsid w:val="0029024A"/>
    <w:rsid w:val="002921A8"/>
    <w:rsid w:val="002921BA"/>
    <w:rsid w:val="0029359F"/>
    <w:rsid w:val="00294A31"/>
    <w:rsid w:val="00295E14"/>
    <w:rsid w:val="00297581"/>
    <w:rsid w:val="00297F00"/>
    <w:rsid w:val="002A0B0D"/>
    <w:rsid w:val="002A0C69"/>
    <w:rsid w:val="002A0E8A"/>
    <w:rsid w:val="002A137E"/>
    <w:rsid w:val="002A19AC"/>
    <w:rsid w:val="002A2CF2"/>
    <w:rsid w:val="002A44A6"/>
    <w:rsid w:val="002A4E38"/>
    <w:rsid w:val="002A51C3"/>
    <w:rsid w:val="002A5503"/>
    <w:rsid w:val="002A5AAC"/>
    <w:rsid w:val="002A5B4A"/>
    <w:rsid w:val="002A5F2A"/>
    <w:rsid w:val="002A6A8F"/>
    <w:rsid w:val="002A6DF0"/>
    <w:rsid w:val="002A6E82"/>
    <w:rsid w:val="002A73A0"/>
    <w:rsid w:val="002A7443"/>
    <w:rsid w:val="002B0AD5"/>
    <w:rsid w:val="002B122E"/>
    <w:rsid w:val="002B2201"/>
    <w:rsid w:val="002B236B"/>
    <w:rsid w:val="002B23CB"/>
    <w:rsid w:val="002B490A"/>
    <w:rsid w:val="002B4AF0"/>
    <w:rsid w:val="002B5E96"/>
    <w:rsid w:val="002B7E01"/>
    <w:rsid w:val="002C066A"/>
    <w:rsid w:val="002C092A"/>
    <w:rsid w:val="002C09DF"/>
    <w:rsid w:val="002C0CBB"/>
    <w:rsid w:val="002C2453"/>
    <w:rsid w:val="002C3543"/>
    <w:rsid w:val="002C41D1"/>
    <w:rsid w:val="002C5D70"/>
    <w:rsid w:val="002D0458"/>
    <w:rsid w:val="002D22CE"/>
    <w:rsid w:val="002D24DA"/>
    <w:rsid w:val="002D2D98"/>
    <w:rsid w:val="002D2FCE"/>
    <w:rsid w:val="002D5CB7"/>
    <w:rsid w:val="002D62A4"/>
    <w:rsid w:val="002D6774"/>
    <w:rsid w:val="002D7D6A"/>
    <w:rsid w:val="002E0791"/>
    <w:rsid w:val="002E22C9"/>
    <w:rsid w:val="002E4E6B"/>
    <w:rsid w:val="002E4EE1"/>
    <w:rsid w:val="002E5224"/>
    <w:rsid w:val="002E5C50"/>
    <w:rsid w:val="002E5CB2"/>
    <w:rsid w:val="002E6AA2"/>
    <w:rsid w:val="002E6D40"/>
    <w:rsid w:val="002F04AD"/>
    <w:rsid w:val="002F062E"/>
    <w:rsid w:val="002F0F17"/>
    <w:rsid w:val="002F0FEA"/>
    <w:rsid w:val="002F44E3"/>
    <w:rsid w:val="002F72ED"/>
    <w:rsid w:val="002F7D2D"/>
    <w:rsid w:val="0030062F"/>
    <w:rsid w:val="003009ED"/>
    <w:rsid w:val="00300EC4"/>
    <w:rsid w:val="00302B71"/>
    <w:rsid w:val="0030460C"/>
    <w:rsid w:val="00304631"/>
    <w:rsid w:val="00305918"/>
    <w:rsid w:val="003068C3"/>
    <w:rsid w:val="00307588"/>
    <w:rsid w:val="00311294"/>
    <w:rsid w:val="00312270"/>
    <w:rsid w:val="0031243C"/>
    <w:rsid w:val="00312833"/>
    <w:rsid w:val="00313193"/>
    <w:rsid w:val="003149C5"/>
    <w:rsid w:val="00314E02"/>
    <w:rsid w:val="00314F82"/>
    <w:rsid w:val="0031512C"/>
    <w:rsid w:val="003153E2"/>
    <w:rsid w:val="0031594C"/>
    <w:rsid w:val="00315F66"/>
    <w:rsid w:val="00316B4A"/>
    <w:rsid w:val="003177DC"/>
    <w:rsid w:val="00317C13"/>
    <w:rsid w:val="00317CD7"/>
    <w:rsid w:val="0032002A"/>
    <w:rsid w:val="0032060A"/>
    <w:rsid w:val="00322395"/>
    <w:rsid w:val="00323237"/>
    <w:rsid w:val="00323948"/>
    <w:rsid w:val="00324A76"/>
    <w:rsid w:val="00325D19"/>
    <w:rsid w:val="00325D35"/>
    <w:rsid w:val="00326B0A"/>
    <w:rsid w:val="00327678"/>
    <w:rsid w:val="00330C10"/>
    <w:rsid w:val="00331882"/>
    <w:rsid w:val="0033381B"/>
    <w:rsid w:val="00333AD5"/>
    <w:rsid w:val="00335317"/>
    <w:rsid w:val="00335C0E"/>
    <w:rsid w:val="00336D08"/>
    <w:rsid w:val="00337692"/>
    <w:rsid w:val="00340933"/>
    <w:rsid w:val="00340964"/>
    <w:rsid w:val="00341148"/>
    <w:rsid w:val="003423DA"/>
    <w:rsid w:val="00342C73"/>
    <w:rsid w:val="0034583C"/>
    <w:rsid w:val="00345A95"/>
    <w:rsid w:val="00345F49"/>
    <w:rsid w:val="003463C5"/>
    <w:rsid w:val="0034684C"/>
    <w:rsid w:val="00347790"/>
    <w:rsid w:val="00351EC9"/>
    <w:rsid w:val="003520FA"/>
    <w:rsid w:val="00352879"/>
    <w:rsid w:val="00352EEC"/>
    <w:rsid w:val="003546CF"/>
    <w:rsid w:val="00356769"/>
    <w:rsid w:val="003568EF"/>
    <w:rsid w:val="00356FCD"/>
    <w:rsid w:val="0036117D"/>
    <w:rsid w:val="00361541"/>
    <w:rsid w:val="00362F41"/>
    <w:rsid w:val="00365B76"/>
    <w:rsid w:val="00365E74"/>
    <w:rsid w:val="003667E4"/>
    <w:rsid w:val="00370112"/>
    <w:rsid w:val="00371869"/>
    <w:rsid w:val="00371918"/>
    <w:rsid w:val="0037192D"/>
    <w:rsid w:val="00373A52"/>
    <w:rsid w:val="00373C8D"/>
    <w:rsid w:val="00374124"/>
    <w:rsid w:val="0037418F"/>
    <w:rsid w:val="003743D0"/>
    <w:rsid w:val="003745D4"/>
    <w:rsid w:val="00374829"/>
    <w:rsid w:val="00374A7B"/>
    <w:rsid w:val="00375EB8"/>
    <w:rsid w:val="00375F9E"/>
    <w:rsid w:val="00376A3C"/>
    <w:rsid w:val="00376B2F"/>
    <w:rsid w:val="00376C0A"/>
    <w:rsid w:val="00376C9C"/>
    <w:rsid w:val="00376CB5"/>
    <w:rsid w:val="0038030E"/>
    <w:rsid w:val="003804D3"/>
    <w:rsid w:val="00380E1C"/>
    <w:rsid w:val="00381103"/>
    <w:rsid w:val="0038205E"/>
    <w:rsid w:val="00382985"/>
    <w:rsid w:val="003829D2"/>
    <w:rsid w:val="00382AB9"/>
    <w:rsid w:val="00383AF5"/>
    <w:rsid w:val="00383D50"/>
    <w:rsid w:val="00384A39"/>
    <w:rsid w:val="00385171"/>
    <w:rsid w:val="00385BC0"/>
    <w:rsid w:val="0038641D"/>
    <w:rsid w:val="0038755B"/>
    <w:rsid w:val="00391CD2"/>
    <w:rsid w:val="00394D4E"/>
    <w:rsid w:val="003952EC"/>
    <w:rsid w:val="00395998"/>
    <w:rsid w:val="003975DE"/>
    <w:rsid w:val="003A04B8"/>
    <w:rsid w:val="003A10FF"/>
    <w:rsid w:val="003A141F"/>
    <w:rsid w:val="003A1AB5"/>
    <w:rsid w:val="003A1AF5"/>
    <w:rsid w:val="003A52EA"/>
    <w:rsid w:val="003A6E52"/>
    <w:rsid w:val="003A7625"/>
    <w:rsid w:val="003B14D0"/>
    <w:rsid w:val="003B1D59"/>
    <w:rsid w:val="003B2267"/>
    <w:rsid w:val="003B2449"/>
    <w:rsid w:val="003B2FBF"/>
    <w:rsid w:val="003B3406"/>
    <w:rsid w:val="003B4084"/>
    <w:rsid w:val="003B408A"/>
    <w:rsid w:val="003B454A"/>
    <w:rsid w:val="003B52DF"/>
    <w:rsid w:val="003B6ED5"/>
    <w:rsid w:val="003B7F25"/>
    <w:rsid w:val="003C0363"/>
    <w:rsid w:val="003C16E1"/>
    <w:rsid w:val="003C335E"/>
    <w:rsid w:val="003C3D30"/>
    <w:rsid w:val="003C4770"/>
    <w:rsid w:val="003C49DD"/>
    <w:rsid w:val="003C5806"/>
    <w:rsid w:val="003C726B"/>
    <w:rsid w:val="003C7F7B"/>
    <w:rsid w:val="003D0342"/>
    <w:rsid w:val="003D11EB"/>
    <w:rsid w:val="003D1572"/>
    <w:rsid w:val="003D23F5"/>
    <w:rsid w:val="003D30B2"/>
    <w:rsid w:val="003D3F1B"/>
    <w:rsid w:val="003D4146"/>
    <w:rsid w:val="003D55E1"/>
    <w:rsid w:val="003D5816"/>
    <w:rsid w:val="003D5900"/>
    <w:rsid w:val="003D72B0"/>
    <w:rsid w:val="003D78F9"/>
    <w:rsid w:val="003E0523"/>
    <w:rsid w:val="003E26F4"/>
    <w:rsid w:val="003E3321"/>
    <w:rsid w:val="003E5801"/>
    <w:rsid w:val="003E68CC"/>
    <w:rsid w:val="003E6F81"/>
    <w:rsid w:val="003F259B"/>
    <w:rsid w:val="003F25B0"/>
    <w:rsid w:val="003F29DE"/>
    <w:rsid w:val="003F2F9E"/>
    <w:rsid w:val="003F301A"/>
    <w:rsid w:val="003F394B"/>
    <w:rsid w:val="003F3EC1"/>
    <w:rsid w:val="003F4CF3"/>
    <w:rsid w:val="003F4D7A"/>
    <w:rsid w:val="003F53D4"/>
    <w:rsid w:val="003F5506"/>
    <w:rsid w:val="003F59C3"/>
    <w:rsid w:val="003F5DD9"/>
    <w:rsid w:val="003F6251"/>
    <w:rsid w:val="003F69AD"/>
    <w:rsid w:val="003F6DCD"/>
    <w:rsid w:val="00400912"/>
    <w:rsid w:val="004022FC"/>
    <w:rsid w:val="00402CE9"/>
    <w:rsid w:val="00402F27"/>
    <w:rsid w:val="00403BB9"/>
    <w:rsid w:val="00403C4E"/>
    <w:rsid w:val="00404BF0"/>
    <w:rsid w:val="00404E6F"/>
    <w:rsid w:val="0040628E"/>
    <w:rsid w:val="004065D1"/>
    <w:rsid w:val="00406743"/>
    <w:rsid w:val="00406E60"/>
    <w:rsid w:val="00407162"/>
    <w:rsid w:val="00407A19"/>
    <w:rsid w:val="00412455"/>
    <w:rsid w:val="0041397F"/>
    <w:rsid w:val="00414624"/>
    <w:rsid w:val="00414C8E"/>
    <w:rsid w:val="004153E4"/>
    <w:rsid w:val="00415DBF"/>
    <w:rsid w:val="00416673"/>
    <w:rsid w:val="00416679"/>
    <w:rsid w:val="00416B7D"/>
    <w:rsid w:val="00417DEE"/>
    <w:rsid w:val="004207BF"/>
    <w:rsid w:val="00420BF4"/>
    <w:rsid w:val="00420D08"/>
    <w:rsid w:val="004212B8"/>
    <w:rsid w:val="004220CE"/>
    <w:rsid w:val="00422AF5"/>
    <w:rsid w:val="00422BF4"/>
    <w:rsid w:val="004233E3"/>
    <w:rsid w:val="00423413"/>
    <w:rsid w:val="00423644"/>
    <w:rsid w:val="004259AA"/>
    <w:rsid w:val="004269CB"/>
    <w:rsid w:val="00427094"/>
    <w:rsid w:val="00427C19"/>
    <w:rsid w:val="00431959"/>
    <w:rsid w:val="0043195A"/>
    <w:rsid w:val="004345DE"/>
    <w:rsid w:val="00434E01"/>
    <w:rsid w:val="00435A29"/>
    <w:rsid w:val="00435D2B"/>
    <w:rsid w:val="00435E23"/>
    <w:rsid w:val="004362FE"/>
    <w:rsid w:val="0043698B"/>
    <w:rsid w:val="00436B18"/>
    <w:rsid w:val="00437963"/>
    <w:rsid w:val="004409F8"/>
    <w:rsid w:val="00441A3C"/>
    <w:rsid w:val="004424B7"/>
    <w:rsid w:val="00443F28"/>
    <w:rsid w:val="004465D0"/>
    <w:rsid w:val="004475C4"/>
    <w:rsid w:val="00447EC3"/>
    <w:rsid w:val="00450249"/>
    <w:rsid w:val="00450980"/>
    <w:rsid w:val="00450EA2"/>
    <w:rsid w:val="0045121D"/>
    <w:rsid w:val="00451815"/>
    <w:rsid w:val="0045185F"/>
    <w:rsid w:val="00451D25"/>
    <w:rsid w:val="00451F96"/>
    <w:rsid w:val="0045219F"/>
    <w:rsid w:val="004529B3"/>
    <w:rsid w:val="00453DF5"/>
    <w:rsid w:val="0045404D"/>
    <w:rsid w:val="00455895"/>
    <w:rsid w:val="0045593A"/>
    <w:rsid w:val="004566D3"/>
    <w:rsid w:val="0045679F"/>
    <w:rsid w:val="00456C71"/>
    <w:rsid w:val="004601EE"/>
    <w:rsid w:val="004605C8"/>
    <w:rsid w:val="00460CC6"/>
    <w:rsid w:val="00461546"/>
    <w:rsid w:val="00461A84"/>
    <w:rsid w:val="0046275F"/>
    <w:rsid w:val="00462D3A"/>
    <w:rsid w:val="004640AC"/>
    <w:rsid w:val="004654B4"/>
    <w:rsid w:val="00465737"/>
    <w:rsid w:val="0046683F"/>
    <w:rsid w:val="004674D5"/>
    <w:rsid w:val="004717C9"/>
    <w:rsid w:val="00472144"/>
    <w:rsid w:val="004806FF"/>
    <w:rsid w:val="004813A3"/>
    <w:rsid w:val="00481A6D"/>
    <w:rsid w:val="00481AFC"/>
    <w:rsid w:val="00482F9A"/>
    <w:rsid w:val="00484122"/>
    <w:rsid w:val="00487D90"/>
    <w:rsid w:val="00490C04"/>
    <w:rsid w:val="004910E8"/>
    <w:rsid w:val="004920B0"/>
    <w:rsid w:val="004929FC"/>
    <w:rsid w:val="004950B9"/>
    <w:rsid w:val="0049603C"/>
    <w:rsid w:val="004977E0"/>
    <w:rsid w:val="00497B7C"/>
    <w:rsid w:val="00497D17"/>
    <w:rsid w:val="00497DDF"/>
    <w:rsid w:val="004A0C62"/>
    <w:rsid w:val="004A1648"/>
    <w:rsid w:val="004A2025"/>
    <w:rsid w:val="004A3218"/>
    <w:rsid w:val="004A41A7"/>
    <w:rsid w:val="004A460F"/>
    <w:rsid w:val="004A4B90"/>
    <w:rsid w:val="004A4F24"/>
    <w:rsid w:val="004A5D9E"/>
    <w:rsid w:val="004A5EC2"/>
    <w:rsid w:val="004B0029"/>
    <w:rsid w:val="004B2A9D"/>
    <w:rsid w:val="004B2C82"/>
    <w:rsid w:val="004B313D"/>
    <w:rsid w:val="004B3766"/>
    <w:rsid w:val="004B4C17"/>
    <w:rsid w:val="004B55FB"/>
    <w:rsid w:val="004C0719"/>
    <w:rsid w:val="004C0783"/>
    <w:rsid w:val="004C089B"/>
    <w:rsid w:val="004C0943"/>
    <w:rsid w:val="004C0FAF"/>
    <w:rsid w:val="004C12DB"/>
    <w:rsid w:val="004C1B3B"/>
    <w:rsid w:val="004C38A8"/>
    <w:rsid w:val="004C38BD"/>
    <w:rsid w:val="004C40E1"/>
    <w:rsid w:val="004C4735"/>
    <w:rsid w:val="004C5403"/>
    <w:rsid w:val="004C6917"/>
    <w:rsid w:val="004D2093"/>
    <w:rsid w:val="004D44A1"/>
    <w:rsid w:val="004D4E3B"/>
    <w:rsid w:val="004D5443"/>
    <w:rsid w:val="004D5477"/>
    <w:rsid w:val="004D5BE5"/>
    <w:rsid w:val="004E03B3"/>
    <w:rsid w:val="004E1300"/>
    <w:rsid w:val="004E1CE3"/>
    <w:rsid w:val="004E26EA"/>
    <w:rsid w:val="004E2992"/>
    <w:rsid w:val="004E37B4"/>
    <w:rsid w:val="004E4418"/>
    <w:rsid w:val="004E4CCA"/>
    <w:rsid w:val="004E65BD"/>
    <w:rsid w:val="004E6CD7"/>
    <w:rsid w:val="004F0841"/>
    <w:rsid w:val="004F08B6"/>
    <w:rsid w:val="004F120B"/>
    <w:rsid w:val="004F14AF"/>
    <w:rsid w:val="004F1574"/>
    <w:rsid w:val="004F343F"/>
    <w:rsid w:val="004F3836"/>
    <w:rsid w:val="004F452D"/>
    <w:rsid w:val="004F4682"/>
    <w:rsid w:val="004F4DB2"/>
    <w:rsid w:val="004F51D1"/>
    <w:rsid w:val="004F5677"/>
    <w:rsid w:val="004F5C91"/>
    <w:rsid w:val="004F5C96"/>
    <w:rsid w:val="004F6E7E"/>
    <w:rsid w:val="004F774A"/>
    <w:rsid w:val="005002AD"/>
    <w:rsid w:val="005003C2"/>
    <w:rsid w:val="0050077C"/>
    <w:rsid w:val="00500F30"/>
    <w:rsid w:val="005024A5"/>
    <w:rsid w:val="0050285B"/>
    <w:rsid w:val="00502E83"/>
    <w:rsid w:val="00502FE1"/>
    <w:rsid w:val="00503C07"/>
    <w:rsid w:val="00504329"/>
    <w:rsid w:val="0050528D"/>
    <w:rsid w:val="00506627"/>
    <w:rsid w:val="0050782D"/>
    <w:rsid w:val="00507E6E"/>
    <w:rsid w:val="00510055"/>
    <w:rsid w:val="005104C1"/>
    <w:rsid w:val="00510518"/>
    <w:rsid w:val="005131D5"/>
    <w:rsid w:val="00513DD9"/>
    <w:rsid w:val="00513E77"/>
    <w:rsid w:val="00516F5C"/>
    <w:rsid w:val="00521F50"/>
    <w:rsid w:val="00522373"/>
    <w:rsid w:val="005231DF"/>
    <w:rsid w:val="00523821"/>
    <w:rsid w:val="00525196"/>
    <w:rsid w:val="00525CD6"/>
    <w:rsid w:val="00526057"/>
    <w:rsid w:val="005278EA"/>
    <w:rsid w:val="005305B6"/>
    <w:rsid w:val="00530CA1"/>
    <w:rsid w:val="00530D92"/>
    <w:rsid w:val="00531F06"/>
    <w:rsid w:val="00532BA4"/>
    <w:rsid w:val="0053307D"/>
    <w:rsid w:val="00533D28"/>
    <w:rsid w:val="00536088"/>
    <w:rsid w:val="00537339"/>
    <w:rsid w:val="00537BFF"/>
    <w:rsid w:val="00540AA6"/>
    <w:rsid w:val="00540BD3"/>
    <w:rsid w:val="00540DFB"/>
    <w:rsid w:val="00541537"/>
    <w:rsid w:val="00541807"/>
    <w:rsid w:val="00541CEB"/>
    <w:rsid w:val="00542939"/>
    <w:rsid w:val="00542FB3"/>
    <w:rsid w:val="0054429C"/>
    <w:rsid w:val="0054551F"/>
    <w:rsid w:val="00550B06"/>
    <w:rsid w:val="00550B56"/>
    <w:rsid w:val="00551D0A"/>
    <w:rsid w:val="00553081"/>
    <w:rsid w:val="0055417E"/>
    <w:rsid w:val="005565BD"/>
    <w:rsid w:val="0055769A"/>
    <w:rsid w:val="00557ED0"/>
    <w:rsid w:val="00560902"/>
    <w:rsid w:val="00560C8B"/>
    <w:rsid w:val="005614EA"/>
    <w:rsid w:val="005618AB"/>
    <w:rsid w:val="00561D49"/>
    <w:rsid w:val="00563091"/>
    <w:rsid w:val="00564436"/>
    <w:rsid w:val="00564B44"/>
    <w:rsid w:val="00564FDC"/>
    <w:rsid w:val="00566343"/>
    <w:rsid w:val="00567846"/>
    <w:rsid w:val="00570BE2"/>
    <w:rsid w:val="00572026"/>
    <w:rsid w:val="005723A0"/>
    <w:rsid w:val="00573774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67B2"/>
    <w:rsid w:val="00577800"/>
    <w:rsid w:val="00581541"/>
    <w:rsid w:val="0058185E"/>
    <w:rsid w:val="00581A54"/>
    <w:rsid w:val="00581A69"/>
    <w:rsid w:val="00581C9D"/>
    <w:rsid w:val="0058202A"/>
    <w:rsid w:val="005838C6"/>
    <w:rsid w:val="00583A91"/>
    <w:rsid w:val="0058542B"/>
    <w:rsid w:val="005859CE"/>
    <w:rsid w:val="00585A63"/>
    <w:rsid w:val="00585D6A"/>
    <w:rsid w:val="00586D6D"/>
    <w:rsid w:val="005908A3"/>
    <w:rsid w:val="00590E2A"/>
    <w:rsid w:val="00591CCA"/>
    <w:rsid w:val="00591F0B"/>
    <w:rsid w:val="00592017"/>
    <w:rsid w:val="00592A07"/>
    <w:rsid w:val="00593323"/>
    <w:rsid w:val="0059455B"/>
    <w:rsid w:val="00594660"/>
    <w:rsid w:val="00597CC8"/>
    <w:rsid w:val="005A0920"/>
    <w:rsid w:val="005A3BA3"/>
    <w:rsid w:val="005A557F"/>
    <w:rsid w:val="005A5F83"/>
    <w:rsid w:val="005A6347"/>
    <w:rsid w:val="005A67C9"/>
    <w:rsid w:val="005A717F"/>
    <w:rsid w:val="005B05F1"/>
    <w:rsid w:val="005B0A82"/>
    <w:rsid w:val="005B18E9"/>
    <w:rsid w:val="005B22C4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9A9"/>
    <w:rsid w:val="005D0656"/>
    <w:rsid w:val="005D0F96"/>
    <w:rsid w:val="005D17B6"/>
    <w:rsid w:val="005D1C9F"/>
    <w:rsid w:val="005D377C"/>
    <w:rsid w:val="005D6100"/>
    <w:rsid w:val="005D70B6"/>
    <w:rsid w:val="005D7745"/>
    <w:rsid w:val="005D7CA3"/>
    <w:rsid w:val="005E0B45"/>
    <w:rsid w:val="005E1809"/>
    <w:rsid w:val="005E26C6"/>
    <w:rsid w:val="005E3FEA"/>
    <w:rsid w:val="005E4728"/>
    <w:rsid w:val="005E5B6D"/>
    <w:rsid w:val="005E5EF6"/>
    <w:rsid w:val="005E6111"/>
    <w:rsid w:val="005E6761"/>
    <w:rsid w:val="005F04AD"/>
    <w:rsid w:val="005F11AE"/>
    <w:rsid w:val="005F1710"/>
    <w:rsid w:val="005F219C"/>
    <w:rsid w:val="005F418F"/>
    <w:rsid w:val="005F4648"/>
    <w:rsid w:val="005F4896"/>
    <w:rsid w:val="005F4921"/>
    <w:rsid w:val="005F59BE"/>
    <w:rsid w:val="005F5F82"/>
    <w:rsid w:val="005F608E"/>
    <w:rsid w:val="005F6D1C"/>
    <w:rsid w:val="005F6D75"/>
    <w:rsid w:val="005F74FC"/>
    <w:rsid w:val="005F7C7C"/>
    <w:rsid w:val="00600703"/>
    <w:rsid w:val="006007D7"/>
    <w:rsid w:val="00600944"/>
    <w:rsid w:val="006015D6"/>
    <w:rsid w:val="00601F6E"/>
    <w:rsid w:val="006026CE"/>
    <w:rsid w:val="00602B65"/>
    <w:rsid w:val="0060303D"/>
    <w:rsid w:val="00605369"/>
    <w:rsid w:val="0060655F"/>
    <w:rsid w:val="00606F7D"/>
    <w:rsid w:val="00607309"/>
    <w:rsid w:val="00607C88"/>
    <w:rsid w:val="006100EE"/>
    <w:rsid w:val="00611691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06C7"/>
    <w:rsid w:val="00620A2C"/>
    <w:rsid w:val="0062149C"/>
    <w:rsid w:val="00622E26"/>
    <w:rsid w:val="006237F8"/>
    <w:rsid w:val="00624A5D"/>
    <w:rsid w:val="00625FB5"/>
    <w:rsid w:val="006271E4"/>
    <w:rsid w:val="006336F6"/>
    <w:rsid w:val="00633BE3"/>
    <w:rsid w:val="00636005"/>
    <w:rsid w:val="00636EB6"/>
    <w:rsid w:val="006378DD"/>
    <w:rsid w:val="00637F96"/>
    <w:rsid w:val="006410A5"/>
    <w:rsid w:val="00641C8D"/>
    <w:rsid w:val="0064292F"/>
    <w:rsid w:val="00643EC0"/>
    <w:rsid w:val="006441E9"/>
    <w:rsid w:val="00644663"/>
    <w:rsid w:val="00646F48"/>
    <w:rsid w:val="006473AE"/>
    <w:rsid w:val="00650BFB"/>
    <w:rsid w:val="0065174E"/>
    <w:rsid w:val="00652A24"/>
    <w:rsid w:val="00653105"/>
    <w:rsid w:val="0065403F"/>
    <w:rsid w:val="00654C9D"/>
    <w:rsid w:val="006550C2"/>
    <w:rsid w:val="00655878"/>
    <w:rsid w:val="00657A32"/>
    <w:rsid w:val="006608D7"/>
    <w:rsid w:val="00660C34"/>
    <w:rsid w:val="00662741"/>
    <w:rsid w:val="00662DD8"/>
    <w:rsid w:val="0066311E"/>
    <w:rsid w:val="006636A4"/>
    <w:rsid w:val="006641E5"/>
    <w:rsid w:val="00664542"/>
    <w:rsid w:val="00664CF7"/>
    <w:rsid w:val="00664F45"/>
    <w:rsid w:val="00665238"/>
    <w:rsid w:val="00665E73"/>
    <w:rsid w:val="006662F0"/>
    <w:rsid w:val="00672001"/>
    <w:rsid w:val="00674CAC"/>
    <w:rsid w:val="00675FE9"/>
    <w:rsid w:val="00676144"/>
    <w:rsid w:val="006768C2"/>
    <w:rsid w:val="00677399"/>
    <w:rsid w:val="00680B3F"/>
    <w:rsid w:val="006842E4"/>
    <w:rsid w:val="006843FA"/>
    <w:rsid w:val="0068465C"/>
    <w:rsid w:val="006847DA"/>
    <w:rsid w:val="006858F5"/>
    <w:rsid w:val="0068612D"/>
    <w:rsid w:val="00686C56"/>
    <w:rsid w:val="00686D35"/>
    <w:rsid w:val="0069029E"/>
    <w:rsid w:val="00690A28"/>
    <w:rsid w:val="00690A85"/>
    <w:rsid w:val="006936FA"/>
    <w:rsid w:val="0069483A"/>
    <w:rsid w:val="00696D8E"/>
    <w:rsid w:val="00697622"/>
    <w:rsid w:val="006A0274"/>
    <w:rsid w:val="006A077D"/>
    <w:rsid w:val="006A078B"/>
    <w:rsid w:val="006A1BE0"/>
    <w:rsid w:val="006A2571"/>
    <w:rsid w:val="006A25DC"/>
    <w:rsid w:val="006A3513"/>
    <w:rsid w:val="006A39FA"/>
    <w:rsid w:val="006A4504"/>
    <w:rsid w:val="006A47FD"/>
    <w:rsid w:val="006A5775"/>
    <w:rsid w:val="006A5A9E"/>
    <w:rsid w:val="006A7CD3"/>
    <w:rsid w:val="006B119B"/>
    <w:rsid w:val="006B25B4"/>
    <w:rsid w:val="006B3F2A"/>
    <w:rsid w:val="006B51EA"/>
    <w:rsid w:val="006B7052"/>
    <w:rsid w:val="006C0821"/>
    <w:rsid w:val="006C2E39"/>
    <w:rsid w:val="006C32F5"/>
    <w:rsid w:val="006C4139"/>
    <w:rsid w:val="006C44AD"/>
    <w:rsid w:val="006C52B0"/>
    <w:rsid w:val="006C5991"/>
    <w:rsid w:val="006C62BE"/>
    <w:rsid w:val="006C7D2B"/>
    <w:rsid w:val="006C7E06"/>
    <w:rsid w:val="006D00B3"/>
    <w:rsid w:val="006D0259"/>
    <w:rsid w:val="006D03DB"/>
    <w:rsid w:val="006D2B5F"/>
    <w:rsid w:val="006D2EDD"/>
    <w:rsid w:val="006D3145"/>
    <w:rsid w:val="006D33BC"/>
    <w:rsid w:val="006D4863"/>
    <w:rsid w:val="006D54FD"/>
    <w:rsid w:val="006D5548"/>
    <w:rsid w:val="006D7764"/>
    <w:rsid w:val="006E082C"/>
    <w:rsid w:val="006E10D1"/>
    <w:rsid w:val="006E265E"/>
    <w:rsid w:val="006E5133"/>
    <w:rsid w:val="006E5FF7"/>
    <w:rsid w:val="006E6575"/>
    <w:rsid w:val="006E6D2D"/>
    <w:rsid w:val="006F10C5"/>
    <w:rsid w:val="006F1313"/>
    <w:rsid w:val="006F186A"/>
    <w:rsid w:val="006F2B79"/>
    <w:rsid w:val="006F2EE4"/>
    <w:rsid w:val="006F3A42"/>
    <w:rsid w:val="006F67EC"/>
    <w:rsid w:val="0070135B"/>
    <w:rsid w:val="007016F5"/>
    <w:rsid w:val="00701D1C"/>
    <w:rsid w:val="0070214A"/>
    <w:rsid w:val="00702BBC"/>
    <w:rsid w:val="00702D5A"/>
    <w:rsid w:val="0070405B"/>
    <w:rsid w:val="007065B7"/>
    <w:rsid w:val="0071007C"/>
    <w:rsid w:val="00713AF1"/>
    <w:rsid w:val="0071422F"/>
    <w:rsid w:val="007146F9"/>
    <w:rsid w:val="007148AF"/>
    <w:rsid w:val="00714EB2"/>
    <w:rsid w:val="00715045"/>
    <w:rsid w:val="007165E2"/>
    <w:rsid w:val="00716614"/>
    <w:rsid w:val="007167EA"/>
    <w:rsid w:val="00716861"/>
    <w:rsid w:val="007207DE"/>
    <w:rsid w:val="00721F2F"/>
    <w:rsid w:val="0072269C"/>
    <w:rsid w:val="00722C45"/>
    <w:rsid w:val="00724526"/>
    <w:rsid w:val="00724B79"/>
    <w:rsid w:val="0072575A"/>
    <w:rsid w:val="00725FD4"/>
    <w:rsid w:val="00726189"/>
    <w:rsid w:val="00726B2D"/>
    <w:rsid w:val="00726B82"/>
    <w:rsid w:val="0073046A"/>
    <w:rsid w:val="007304CA"/>
    <w:rsid w:val="007321AA"/>
    <w:rsid w:val="0073229C"/>
    <w:rsid w:val="007333CB"/>
    <w:rsid w:val="007337D9"/>
    <w:rsid w:val="007347DD"/>
    <w:rsid w:val="00735174"/>
    <w:rsid w:val="0073533D"/>
    <w:rsid w:val="007356E3"/>
    <w:rsid w:val="0073740B"/>
    <w:rsid w:val="00740107"/>
    <w:rsid w:val="0074036C"/>
    <w:rsid w:val="00740BE9"/>
    <w:rsid w:val="00740E02"/>
    <w:rsid w:val="007426C0"/>
    <w:rsid w:val="007427C1"/>
    <w:rsid w:val="00746E78"/>
    <w:rsid w:val="0074744C"/>
    <w:rsid w:val="00750CBF"/>
    <w:rsid w:val="00753FC1"/>
    <w:rsid w:val="00754D92"/>
    <w:rsid w:val="007555D1"/>
    <w:rsid w:val="00756C46"/>
    <w:rsid w:val="007571E7"/>
    <w:rsid w:val="00760822"/>
    <w:rsid w:val="00760C96"/>
    <w:rsid w:val="00761DF0"/>
    <w:rsid w:val="00762D7B"/>
    <w:rsid w:val="00762E64"/>
    <w:rsid w:val="0076324D"/>
    <w:rsid w:val="007649B4"/>
    <w:rsid w:val="007663CA"/>
    <w:rsid w:val="0076642B"/>
    <w:rsid w:val="0076717C"/>
    <w:rsid w:val="007740AF"/>
    <w:rsid w:val="007746FE"/>
    <w:rsid w:val="0077498E"/>
    <w:rsid w:val="007757DA"/>
    <w:rsid w:val="00776D6A"/>
    <w:rsid w:val="00782021"/>
    <w:rsid w:val="007830B3"/>
    <w:rsid w:val="00783D57"/>
    <w:rsid w:val="00786608"/>
    <w:rsid w:val="007866BF"/>
    <w:rsid w:val="00787174"/>
    <w:rsid w:val="00787B4A"/>
    <w:rsid w:val="00787DC4"/>
    <w:rsid w:val="0079010B"/>
    <w:rsid w:val="00791A38"/>
    <w:rsid w:val="00791D85"/>
    <w:rsid w:val="00791F05"/>
    <w:rsid w:val="00792789"/>
    <w:rsid w:val="007927E7"/>
    <w:rsid w:val="00796DEA"/>
    <w:rsid w:val="00797137"/>
    <w:rsid w:val="00797AD6"/>
    <w:rsid w:val="007A1BDD"/>
    <w:rsid w:val="007A28C4"/>
    <w:rsid w:val="007A2998"/>
    <w:rsid w:val="007A6258"/>
    <w:rsid w:val="007A629E"/>
    <w:rsid w:val="007A715B"/>
    <w:rsid w:val="007A7AE4"/>
    <w:rsid w:val="007B022E"/>
    <w:rsid w:val="007B0B20"/>
    <w:rsid w:val="007B1695"/>
    <w:rsid w:val="007B1C4A"/>
    <w:rsid w:val="007B1FB0"/>
    <w:rsid w:val="007B20A8"/>
    <w:rsid w:val="007B41B5"/>
    <w:rsid w:val="007B4A14"/>
    <w:rsid w:val="007B5AEF"/>
    <w:rsid w:val="007B741D"/>
    <w:rsid w:val="007B78C7"/>
    <w:rsid w:val="007B7ECB"/>
    <w:rsid w:val="007C00AB"/>
    <w:rsid w:val="007C1F4F"/>
    <w:rsid w:val="007C23DC"/>
    <w:rsid w:val="007C3532"/>
    <w:rsid w:val="007C545C"/>
    <w:rsid w:val="007C677C"/>
    <w:rsid w:val="007C697C"/>
    <w:rsid w:val="007C72DB"/>
    <w:rsid w:val="007C73AA"/>
    <w:rsid w:val="007C784A"/>
    <w:rsid w:val="007C7E06"/>
    <w:rsid w:val="007C7E9D"/>
    <w:rsid w:val="007D139D"/>
    <w:rsid w:val="007D1ABD"/>
    <w:rsid w:val="007D1BDE"/>
    <w:rsid w:val="007D1E60"/>
    <w:rsid w:val="007D2990"/>
    <w:rsid w:val="007D3CDC"/>
    <w:rsid w:val="007D49A1"/>
    <w:rsid w:val="007D4EEB"/>
    <w:rsid w:val="007D5343"/>
    <w:rsid w:val="007D7925"/>
    <w:rsid w:val="007E05DD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5AB"/>
    <w:rsid w:val="007E4766"/>
    <w:rsid w:val="007E5071"/>
    <w:rsid w:val="007E53D0"/>
    <w:rsid w:val="007E60E1"/>
    <w:rsid w:val="007E6106"/>
    <w:rsid w:val="007E62F2"/>
    <w:rsid w:val="007E6D71"/>
    <w:rsid w:val="007F0661"/>
    <w:rsid w:val="007F0CD8"/>
    <w:rsid w:val="007F0EE8"/>
    <w:rsid w:val="007F1059"/>
    <w:rsid w:val="007F111E"/>
    <w:rsid w:val="007F1D93"/>
    <w:rsid w:val="007F2AA9"/>
    <w:rsid w:val="007F3912"/>
    <w:rsid w:val="007F44C8"/>
    <w:rsid w:val="007F5733"/>
    <w:rsid w:val="007F5EC4"/>
    <w:rsid w:val="007F6025"/>
    <w:rsid w:val="007F6E7F"/>
    <w:rsid w:val="00800EAB"/>
    <w:rsid w:val="0080187F"/>
    <w:rsid w:val="00803B9A"/>
    <w:rsid w:val="00804742"/>
    <w:rsid w:val="0080717D"/>
    <w:rsid w:val="0081075B"/>
    <w:rsid w:val="008107D2"/>
    <w:rsid w:val="00810AF2"/>
    <w:rsid w:val="00811990"/>
    <w:rsid w:val="008120A8"/>
    <w:rsid w:val="00812E17"/>
    <w:rsid w:val="00813B21"/>
    <w:rsid w:val="00813B8E"/>
    <w:rsid w:val="0081427B"/>
    <w:rsid w:val="008177FB"/>
    <w:rsid w:val="00817C3A"/>
    <w:rsid w:val="00822DF4"/>
    <w:rsid w:val="00822F38"/>
    <w:rsid w:val="00823077"/>
    <w:rsid w:val="00823912"/>
    <w:rsid w:val="00825C82"/>
    <w:rsid w:val="0082645C"/>
    <w:rsid w:val="008304CB"/>
    <w:rsid w:val="00831AA1"/>
    <w:rsid w:val="00832A23"/>
    <w:rsid w:val="00833706"/>
    <w:rsid w:val="00833D59"/>
    <w:rsid w:val="00835165"/>
    <w:rsid w:val="008358CB"/>
    <w:rsid w:val="00835921"/>
    <w:rsid w:val="0083602A"/>
    <w:rsid w:val="008434A8"/>
    <w:rsid w:val="00843623"/>
    <w:rsid w:val="008442C2"/>
    <w:rsid w:val="008456A7"/>
    <w:rsid w:val="00847BFC"/>
    <w:rsid w:val="00847FE6"/>
    <w:rsid w:val="008500AD"/>
    <w:rsid w:val="008502C6"/>
    <w:rsid w:val="00850D60"/>
    <w:rsid w:val="00851C2A"/>
    <w:rsid w:val="008539FF"/>
    <w:rsid w:val="00854DA8"/>
    <w:rsid w:val="0085592E"/>
    <w:rsid w:val="0085620D"/>
    <w:rsid w:val="00856ECD"/>
    <w:rsid w:val="008619AE"/>
    <w:rsid w:val="00861AC3"/>
    <w:rsid w:val="0086203D"/>
    <w:rsid w:val="00862A40"/>
    <w:rsid w:val="00862DAA"/>
    <w:rsid w:val="00863FF8"/>
    <w:rsid w:val="00864694"/>
    <w:rsid w:val="00864F90"/>
    <w:rsid w:val="00865918"/>
    <w:rsid w:val="00865B12"/>
    <w:rsid w:val="00865D70"/>
    <w:rsid w:val="008666D1"/>
    <w:rsid w:val="008668A8"/>
    <w:rsid w:val="008676F6"/>
    <w:rsid w:val="0087092D"/>
    <w:rsid w:val="0087104F"/>
    <w:rsid w:val="00871C22"/>
    <w:rsid w:val="008725AE"/>
    <w:rsid w:val="008726F6"/>
    <w:rsid w:val="00873140"/>
    <w:rsid w:val="00873753"/>
    <w:rsid w:val="00874946"/>
    <w:rsid w:val="00875C6C"/>
    <w:rsid w:val="00876AA4"/>
    <w:rsid w:val="00876F50"/>
    <w:rsid w:val="00880340"/>
    <w:rsid w:val="008834CF"/>
    <w:rsid w:val="008838E9"/>
    <w:rsid w:val="00884079"/>
    <w:rsid w:val="00884486"/>
    <w:rsid w:val="00884B38"/>
    <w:rsid w:val="0088513C"/>
    <w:rsid w:val="008856F1"/>
    <w:rsid w:val="00885E10"/>
    <w:rsid w:val="0089177A"/>
    <w:rsid w:val="0089261B"/>
    <w:rsid w:val="00893959"/>
    <w:rsid w:val="00895262"/>
    <w:rsid w:val="00895BED"/>
    <w:rsid w:val="00895E4D"/>
    <w:rsid w:val="00897762"/>
    <w:rsid w:val="00897A78"/>
    <w:rsid w:val="008A0B3C"/>
    <w:rsid w:val="008A1C42"/>
    <w:rsid w:val="008A2002"/>
    <w:rsid w:val="008A216B"/>
    <w:rsid w:val="008A271A"/>
    <w:rsid w:val="008A36DD"/>
    <w:rsid w:val="008A37D9"/>
    <w:rsid w:val="008A3937"/>
    <w:rsid w:val="008A3DE4"/>
    <w:rsid w:val="008A4941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6744"/>
    <w:rsid w:val="008B6D1E"/>
    <w:rsid w:val="008C0119"/>
    <w:rsid w:val="008C0A2F"/>
    <w:rsid w:val="008C285C"/>
    <w:rsid w:val="008C287B"/>
    <w:rsid w:val="008C3325"/>
    <w:rsid w:val="008C35BF"/>
    <w:rsid w:val="008C3EE4"/>
    <w:rsid w:val="008C5566"/>
    <w:rsid w:val="008C6142"/>
    <w:rsid w:val="008C7243"/>
    <w:rsid w:val="008C74EB"/>
    <w:rsid w:val="008C76E4"/>
    <w:rsid w:val="008D0601"/>
    <w:rsid w:val="008D06D6"/>
    <w:rsid w:val="008D0EC9"/>
    <w:rsid w:val="008D1499"/>
    <w:rsid w:val="008D1F77"/>
    <w:rsid w:val="008D2136"/>
    <w:rsid w:val="008D2F82"/>
    <w:rsid w:val="008D3E59"/>
    <w:rsid w:val="008D3F06"/>
    <w:rsid w:val="008D42AE"/>
    <w:rsid w:val="008D5C06"/>
    <w:rsid w:val="008D5D63"/>
    <w:rsid w:val="008D671A"/>
    <w:rsid w:val="008D6C48"/>
    <w:rsid w:val="008D7924"/>
    <w:rsid w:val="008E2161"/>
    <w:rsid w:val="008E2609"/>
    <w:rsid w:val="008E398C"/>
    <w:rsid w:val="008E3DD7"/>
    <w:rsid w:val="008E424F"/>
    <w:rsid w:val="008E4649"/>
    <w:rsid w:val="008E4A97"/>
    <w:rsid w:val="008E6169"/>
    <w:rsid w:val="008E6A62"/>
    <w:rsid w:val="008E6F46"/>
    <w:rsid w:val="008E783F"/>
    <w:rsid w:val="008E790A"/>
    <w:rsid w:val="008F08F3"/>
    <w:rsid w:val="008F1711"/>
    <w:rsid w:val="008F17D9"/>
    <w:rsid w:val="008F1A82"/>
    <w:rsid w:val="008F1E21"/>
    <w:rsid w:val="008F23B0"/>
    <w:rsid w:val="008F5F1D"/>
    <w:rsid w:val="008F675A"/>
    <w:rsid w:val="008F7896"/>
    <w:rsid w:val="008F7E3A"/>
    <w:rsid w:val="00900295"/>
    <w:rsid w:val="00900627"/>
    <w:rsid w:val="00900F71"/>
    <w:rsid w:val="00901C62"/>
    <w:rsid w:val="00901DE5"/>
    <w:rsid w:val="009020BA"/>
    <w:rsid w:val="0090251E"/>
    <w:rsid w:val="00903422"/>
    <w:rsid w:val="00903431"/>
    <w:rsid w:val="00904C77"/>
    <w:rsid w:val="009053FE"/>
    <w:rsid w:val="00905719"/>
    <w:rsid w:val="00905ACF"/>
    <w:rsid w:val="00906310"/>
    <w:rsid w:val="00906CE3"/>
    <w:rsid w:val="009103E8"/>
    <w:rsid w:val="0091379F"/>
    <w:rsid w:val="00913F44"/>
    <w:rsid w:val="009155AD"/>
    <w:rsid w:val="00915862"/>
    <w:rsid w:val="00916847"/>
    <w:rsid w:val="00920027"/>
    <w:rsid w:val="00920370"/>
    <w:rsid w:val="0092165D"/>
    <w:rsid w:val="00922E12"/>
    <w:rsid w:val="009230EF"/>
    <w:rsid w:val="0092320E"/>
    <w:rsid w:val="00923B27"/>
    <w:rsid w:val="00923D31"/>
    <w:rsid w:val="00923DE4"/>
    <w:rsid w:val="00925D5B"/>
    <w:rsid w:val="00926A9B"/>
    <w:rsid w:val="00926B12"/>
    <w:rsid w:val="009278A2"/>
    <w:rsid w:val="00930372"/>
    <w:rsid w:val="0093079C"/>
    <w:rsid w:val="00930F30"/>
    <w:rsid w:val="0093230D"/>
    <w:rsid w:val="00932B85"/>
    <w:rsid w:val="00933908"/>
    <w:rsid w:val="00934750"/>
    <w:rsid w:val="00934866"/>
    <w:rsid w:val="00935CA2"/>
    <w:rsid w:val="00935DA1"/>
    <w:rsid w:val="0093756C"/>
    <w:rsid w:val="0094096A"/>
    <w:rsid w:val="00943D0A"/>
    <w:rsid w:val="0094481A"/>
    <w:rsid w:val="00945C2C"/>
    <w:rsid w:val="00946C6E"/>
    <w:rsid w:val="00947255"/>
    <w:rsid w:val="009479BD"/>
    <w:rsid w:val="00950410"/>
    <w:rsid w:val="00951E53"/>
    <w:rsid w:val="00954735"/>
    <w:rsid w:val="00955454"/>
    <w:rsid w:val="00956806"/>
    <w:rsid w:val="0095687D"/>
    <w:rsid w:val="00960D0C"/>
    <w:rsid w:val="00961712"/>
    <w:rsid w:val="009620C7"/>
    <w:rsid w:val="00962B59"/>
    <w:rsid w:val="00963604"/>
    <w:rsid w:val="0096371E"/>
    <w:rsid w:val="0096406B"/>
    <w:rsid w:val="0096497F"/>
    <w:rsid w:val="00965A13"/>
    <w:rsid w:val="009703DE"/>
    <w:rsid w:val="00970855"/>
    <w:rsid w:val="00971194"/>
    <w:rsid w:val="0097152E"/>
    <w:rsid w:val="00972F15"/>
    <w:rsid w:val="00973879"/>
    <w:rsid w:val="00975B58"/>
    <w:rsid w:val="00976023"/>
    <w:rsid w:val="0097638C"/>
    <w:rsid w:val="00976C89"/>
    <w:rsid w:val="00976E31"/>
    <w:rsid w:val="00977817"/>
    <w:rsid w:val="00977F66"/>
    <w:rsid w:val="00981418"/>
    <w:rsid w:val="009821A7"/>
    <w:rsid w:val="00982AC0"/>
    <w:rsid w:val="00982E37"/>
    <w:rsid w:val="00985357"/>
    <w:rsid w:val="00985D92"/>
    <w:rsid w:val="00987235"/>
    <w:rsid w:val="009902FD"/>
    <w:rsid w:val="00990811"/>
    <w:rsid w:val="009912C1"/>
    <w:rsid w:val="00993106"/>
    <w:rsid w:val="00994B2F"/>
    <w:rsid w:val="00994DA6"/>
    <w:rsid w:val="00995F07"/>
    <w:rsid w:val="00996085"/>
    <w:rsid w:val="009962ED"/>
    <w:rsid w:val="00997298"/>
    <w:rsid w:val="009A0718"/>
    <w:rsid w:val="009A0A4F"/>
    <w:rsid w:val="009A176B"/>
    <w:rsid w:val="009A1A4B"/>
    <w:rsid w:val="009A48B8"/>
    <w:rsid w:val="009A4A57"/>
    <w:rsid w:val="009A4ACE"/>
    <w:rsid w:val="009A4F01"/>
    <w:rsid w:val="009A682B"/>
    <w:rsid w:val="009A7777"/>
    <w:rsid w:val="009B003B"/>
    <w:rsid w:val="009B05DE"/>
    <w:rsid w:val="009B10F4"/>
    <w:rsid w:val="009B3F8C"/>
    <w:rsid w:val="009B5265"/>
    <w:rsid w:val="009B5B37"/>
    <w:rsid w:val="009B5BAB"/>
    <w:rsid w:val="009B5E1A"/>
    <w:rsid w:val="009B7F99"/>
    <w:rsid w:val="009C06E5"/>
    <w:rsid w:val="009C0E5E"/>
    <w:rsid w:val="009C145C"/>
    <w:rsid w:val="009C4CB8"/>
    <w:rsid w:val="009C57BD"/>
    <w:rsid w:val="009C649F"/>
    <w:rsid w:val="009C71E0"/>
    <w:rsid w:val="009C71F4"/>
    <w:rsid w:val="009C7DD1"/>
    <w:rsid w:val="009D05B3"/>
    <w:rsid w:val="009D07B3"/>
    <w:rsid w:val="009D1631"/>
    <w:rsid w:val="009D17DA"/>
    <w:rsid w:val="009D24EC"/>
    <w:rsid w:val="009D288A"/>
    <w:rsid w:val="009D2CDD"/>
    <w:rsid w:val="009D410B"/>
    <w:rsid w:val="009D45DB"/>
    <w:rsid w:val="009D4DC5"/>
    <w:rsid w:val="009D4ED9"/>
    <w:rsid w:val="009D64B2"/>
    <w:rsid w:val="009D724C"/>
    <w:rsid w:val="009D778D"/>
    <w:rsid w:val="009D7E91"/>
    <w:rsid w:val="009E0656"/>
    <w:rsid w:val="009E0E14"/>
    <w:rsid w:val="009E1239"/>
    <w:rsid w:val="009E1A61"/>
    <w:rsid w:val="009E29F9"/>
    <w:rsid w:val="009E453C"/>
    <w:rsid w:val="009E5FBC"/>
    <w:rsid w:val="009E6024"/>
    <w:rsid w:val="009E65A9"/>
    <w:rsid w:val="009E68C5"/>
    <w:rsid w:val="009E7245"/>
    <w:rsid w:val="009E7B55"/>
    <w:rsid w:val="009E7E27"/>
    <w:rsid w:val="009F09FA"/>
    <w:rsid w:val="009F1931"/>
    <w:rsid w:val="009F1EA2"/>
    <w:rsid w:val="009F389D"/>
    <w:rsid w:val="009F3DEA"/>
    <w:rsid w:val="009F4787"/>
    <w:rsid w:val="009F7196"/>
    <w:rsid w:val="00A005CE"/>
    <w:rsid w:val="00A00646"/>
    <w:rsid w:val="00A016C5"/>
    <w:rsid w:val="00A033B3"/>
    <w:rsid w:val="00A03857"/>
    <w:rsid w:val="00A046F0"/>
    <w:rsid w:val="00A04AD6"/>
    <w:rsid w:val="00A04D92"/>
    <w:rsid w:val="00A05F02"/>
    <w:rsid w:val="00A063B4"/>
    <w:rsid w:val="00A0693D"/>
    <w:rsid w:val="00A069B4"/>
    <w:rsid w:val="00A07500"/>
    <w:rsid w:val="00A12126"/>
    <w:rsid w:val="00A13F49"/>
    <w:rsid w:val="00A14D26"/>
    <w:rsid w:val="00A14FEE"/>
    <w:rsid w:val="00A15DE9"/>
    <w:rsid w:val="00A20D2A"/>
    <w:rsid w:val="00A21844"/>
    <w:rsid w:val="00A21D5D"/>
    <w:rsid w:val="00A22759"/>
    <w:rsid w:val="00A23FBE"/>
    <w:rsid w:val="00A24545"/>
    <w:rsid w:val="00A24EFD"/>
    <w:rsid w:val="00A25627"/>
    <w:rsid w:val="00A26B2A"/>
    <w:rsid w:val="00A27112"/>
    <w:rsid w:val="00A27397"/>
    <w:rsid w:val="00A27B79"/>
    <w:rsid w:val="00A3014F"/>
    <w:rsid w:val="00A3069B"/>
    <w:rsid w:val="00A31FC3"/>
    <w:rsid w:val="00A34CE3"/>
    <w:rsid w:val="00A351CE"/>
    <w:rsid w:val="00A35ECF"/>
    <w:rsid w:val="00A37562"/>
    <w:rsid w:val="00A3789C"/>
    <w:rsid w:val="00A37943"/>
    <w:rsid w:val="00A4004E"/>
    <w:rsid w:val="00A40E3C"/>
    <w:rsid w:val="00A42B4E"/>
    <w:rsid w:val="00A42B92"/>
    <w:rsid w:val="00A43120"/>
    <w:rsid w:val="00A43C3B"/>
    <w:rsid w:val="00A43E8D"/>
    <w:rsid w:val="00A474D7"/>
    <w:rsid w:val="00A50943"/>
    <w:rsid w:val="00A5125F"/>
    <w:rsid w:val="00A51482"/>
    <w:rsid w:val="00A5227F"/>
    <w:rsid w:val="00A52885"/>
    <w:rsid w:val="00A52B73"/>
    <w:rsid w:val="00A53153"/>
    <w:rsid w:val="00A53162"/>
    <w:rsid w:val="00A534A8"/>
    <w:rsid w:val="00A53640"/>
    <w:rsid w:val="00A55A06"/>
    <w:rsid w:val="00A55A2D"/>
    <w:rsid w:val="00A56BF2"/>
    <w:rsid w:val="00A576F2"/>
    <w:rsid w:val="00A628EC"/>
    <w:rsid w:val="00A62E6B"/>
    <w:rsid w:val="00A6301D"/>
    <w:rsid w:val="00A63072"/>
    <w:rsid w:val="00A639E1"/>
    <w:rsid w:val="00A63A56"/>
    <w:rsid w:val="00A64050"/>
    <w:rsid w:val="00A648F3"/>
    <w:rsid w:val="00A64F88"/>
    <w:rsid w:val="00A650D5"/>
    <w:rsid w:val="00A658BA"/>
    <w:rsid w:val="00A65A42"/>
    <w:rsid w:val="00A65A48"/>
    <w:rsid w:val="00A65EC2"/>
    <w:rsid w:val="00A66077"/>
    <w:rsid w:val="00A67583"/>
    <w:rsid w:val="00A67BDB"/>
    <w:rsid w:val="00A70321"/>
    <w:rsid w:val="00A71D64"/>
    <w:rsid w:val="00A71DFA"/>
    <w:rsid w:val="00A725DD"/>
    <w:rsid w:val="00A7261F"/>
    <w:rsid w:val="00A72718"/>
    <w:rsid w:val="00A73494"/>
    <w:rsid w:val="00A75463"/>
    <w:rsid w:val="00A77EB0"/>
    <w:rsid w:val="00A81BC8"/>
    <w:rsid w:val="00A8262D"/>
    <w:rsid w:val="00A82D5B"/>
    <w:rsid w:val="00A839C0"/>
    <w:rsid w:val="00A84A91"/>
    <w:rsid w:val="00A85124"/>
    <w:rsid w:val="00A860B8"/>
    <w:rsid w:val="00A86540"/>
    <w:rsid w:val="00A876A6"/>
    <w:rsid w:val="00A8771E"/>
    <w:rsid w:val="00A91036"/>
    <w:rsid w:val="00A92B40"/>
    <w:rsid w:val="00A93FD7"/>
    <w:rsid w:val="00A9513A"/>
    <w:rsid w:val="00A95AC6"/>
    <w:rsid w:val="00A96DF7"/>
    <w:rsid w:val="00AA0846"/>
    <w:rsid w:val="00AA1522"/>
    <w:rsid w:val="00AA18FA"/>
    <w:rsid w:val="00AA25C4"/>
    <w:rsid w:val="00AA265B"/>
    <w:rsid w:val="00AA2D35"/>
    <w:rsid w:val="00AA31C3"/>
    <w:rsid w:val="00AA3BB2"/>
    <w:rsid w:val="00AA466F"/>
    <w:rsid w:val="00AA4DCB"/>
    <w:rsid w:val="00AA5578"/>
    <w:rsid w:val="00AA65EC"/>
    <w:rsid w:val="00AA667D"/>
    <w:rsid w:val="00AA6F1B"/>
    <w:rsid w:val="00AB2CAD"/>
    <w:rsid w:val="00AB3FAA"/>
    <w:rsid w:val="00AB45B8"/>
    <w:rsid w:val="00AB5429"/>
    <w:rsid w:val="00AB5884"/>
    <w:rsid w:val="00AB5A26"/>
    <w:rsid w:val="00AB6263"/>
    <w:rsid w:val="00AC0F2A"/>
    <w:rsid w:val="00AC2703"/>
    <w:rsid w:val="00AC3216"/>
    <w:rsid w:val="00AC39F0"/>
    <w:rsid w:val="00AC3E7E"/>
    <w:rsid w:val="00AC4F93"/>
    <w:rsid w:val="00AC51AE"/>
    <w:rsid w:val="00AC590B"/>
    <w:rsid w:val="00AC639A"/>
    <w:rsid w:val="00AC6952"/>
    <w:rsid w:val="00AC6C6A"/>
    <w:rsid w:val="00AC728A"/>
    <w:rsid w:val="00AC79ED"/>
    <w:rsid w:val="00AC7A6A"/>
    <w:rsid w:val="00AD163F"/>
    <w:rsid w:val="00AD1D26"/>
    <w:rsid w:val="00AD6E55"/>
    <w:rsid w:val="00AD751D"/>
    <w:rsid w:val="00AD7566"/>
    <w:rsid w:val="00AE07C3"/>
    <w:rsid w:val="00AE098B"/>
    <w:rsid w:val="00AE0C07"/>
    <w:rsid w:val="00AE11FE"/>
    <w:rsid w:val="00AE18A5"/>
    <w:rsid w:val="00AE2C09"/>
    <w:rsid w:val="00AE33DF"/>
    <w:rsid w:val="00AE351E"/>
    <w:rsid w:val="00AE3FD0"/>
    <w:rsid w:val="00AE428A"/>
    <w:rsid w:val="00AE605A"/>
    <w:rsid w:val="00AE69DA"/>
    <w:rsid w:val="00AF0D2C"/>
    <w:rsid w:val="00AF11C1"/>
    <w:rsid w:val="00AF28D0"/>
    <w:rsid w:val="00AF2F1A"/>
    <w:rsid w:val="00AF376A"/>
    <w:rsid w:val="00AF5402"/>
    <w:rsid w:val="00AF632F"/>
    <w:rsid w:val="00AF6816"/>
    <w:rsid w:val="00AF6DC8"/>
    <w:rsid w:val="00B008C6"/>
    <w:rsid w:val="00B00DD7"/>
    <w:rsid w:val="00B0110A"/>
    <w:rsid w:val="00B023D2"/>
    <w:rsid w:val="00B02EBE"/>
    <w:rsid w:val="00B033F4"/>
    <w:rsid w:val="00B034C0"/>
    <w:rsid w:val="00B034D4"/>
    <w:rsid w:val="00B046C3"/>
    <w:rsid w:val="00B04F06"/>
    <w:rsid w:val="00B05630"/>
    <w:rsid w:val="00B063B4"/>
    <w:rsid w:val="00B067CC"/>
    <w:rsid w:val="00B06F58"/>
    <w:rsid w:val="00B07809"/>
    <w:rsid w:val="00B10A4B"/>
    <w:rsid w:val="00B12CDC"/>
    <w:rsid w:val="00B12EB4"/>
    <w:rsid w:val="00B1350F"/>
    <w:rsid w:val="00B13527"/>
    <w:rsid w:val="00B137A0"/>
    <w:rsid w:val="00B16653"/>
    <w:rsid w:val="00B179BC"/>
    <w:rsid w:val="00B17A19"/>
    <w:rsid w:val="00B17BDC"/>
    <w:rsid w:val="00B203A6"/>
    <w:rsid w:val="00B207A7"/>
    <w:rsid w:val="00B212C1"/>
    <w:rsid w:val="00B22920"/>
    <w:rsid w:val="00B2333E"/>
    <w:rsid w:val="00B23475"/>
    <w:rsid w:val="00B24657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0BEB"/>
    <w:rsid w:val="00B312A3"/>
    <w:rsid w:val="00B31669"/>
    <w:rsid w:val="00B3241E"/>
    <w:rsid w:val="00B3308F"/>
    <w:rsid w:val="00B369D6"/>
    <w:rsid w:val="00B41F3B"/>
    <w:rsid w:val="00B41FAB"/>
    <w:rsid w:val="00B446D1"/>
    <w:rsid w:val="00B44A08"/>
    <w:rsid w:val="00B44AA9"/>
    <w:rsid w:val="00B453B6"/>
    <w:rsid w:val="00B453C0"/>
    <w:rsid w:val="00B47018"/>
    <w:rsid w:val="00B471CE"/>
    <w:rsid w:val="00B50512"/>
    <w:rsid w:val="00B51084"/>
    <w:rsid w:val="00B514E5"/>
    <w:rsid w:val="00B5238C"/>
    <w:rsid w:val="00B53779"/>
    <w:rsid w:val="00B54210"/>
    <w:rsid w:val="00B546A3"/>
    <w:rsid w:val="00B546E4"/>
    <w:rsid w:val="00B54792"/>
    <w:rsid w:val="00B54A73"/>
    <w:rsid w:val="00B54CED"/>
    <w:rsid w:val="00B56597"/>
    <w:rsid w:val="00B608FB"/>
    <w:rsid w:val="00B61396"/>
    <w:rsid w:val="00B6156C"/>
    <w:rsid w:val="00B62A2C"/>
    <w:rsid w:val="00B62E37"/>
    <w:rsid w:val="00B63855"/>
    <w:rsid w:val="00B647E5"/>
    <w:rsid w:val="00B64B69"/>
    <w:rsid w:val="00B64BF2"/>
    <w:rsid w:val="00B64D97"/>
    <w:rsid w:val="00B65009"/>
    <w:rsid w:val="00B66439"/>
    <w:rsid w:val="00B6705A"/>
    <w:rsid w:val="00B67A8E"/>
    <w:rsid w:val="00B716BE"/>
    <w:rsid w:val="00B730BA"/>
    <w:rsid w:val="00B756E1"/>
    <w:rsid w:val="00B7667E"/>
    <w:rsid w:val="00B802AA"/>
    <w:rsid w:val="00B802F1"/>
    <w:rsid w:val="00B81317"/>
    <w:rsid w:val="00B81551"/>
    <w:rsid w:val="00B8171E"/>
    <w:rsid w:val="00B82427"/>
    <w:rsid w:val="00B833DC"/>
    <w:rsid w:val="00B84A78"/>
    <w:rsid w:val="00B84DC1"/>
    <w:rsid w:val="00B85362"/>
    <w:rsid w:val="00B862DA"/>
    <w:rsid w:val="00B86AA7"/>
    <w:rsid w:val="00B9029E"/>
    <w:rsid w:val="00B90699"/>
    <w:rsid w:val="00B90810"/>
    <w:rsid w:val="00B92854"/>
    <w:rsid w:val="00B928B1"/>
    <w:rsid w:val="00B94604"/>
    <w:rsid w:val="00B94798"/>
    <w:rsid w:val="00B94C4C"/>
    <w:rsid w:val="00B95E42"/>
    <w:rsid w:val="00B95E43"/>
    <w:rsid w:val="00B96553"/>
    <w:rsid w:val="00BA0C89"/>
    <w:rsid w:val="00BA11DD"/>
    <w:rsid w:val="00BA1347"/>
    <w:rsid w:val="00BA1600"/>
    <w:rsid w:val="00BA18F0"/>
    <w:rsid w:val="00BA22A6"/>
    <w:rsid w:val="00BA2AEA"/>
    <w:rsid w:val="00BA496A"/>
    <w:rsid w:val="00BA4E27"/>
    <w:rsid w:val="00BA52B0"/>
    <w:rsid w:val="00BA554B"/>
    <w:rsid w:val="00BA6CE1"/>
    <w:rsid w:val="00BB1FFF"/>
    <w:rsid w:val="00BB2624"/>
    <w:rsid w:val="00BB58EA"/>
    <w:rsid w:val="00BB5C46"/>
    <w:rsid w:val="00BB62D8"/>
    <w:rsid w:val="00BB6A15"/>
    <w:rsid w:val="00BB6AC8"/>
    <w:rsid w:val="00BB7676"/>
    <w:rsid w:val="00BB7D4D"/>
    <w:rsid w:val="00BC03E9"/>
    <w:rsid w:val="00BC065D"/>
    <w:rsid w:val="00BC0DB8"/>
    <w:rsid w:val="00BC1BF2"/>
    <w:rsid w:val="00BC24C7"/>
    <w:rsid w:val="00BC3DC5"/>
    <w:rsid w:val="00BC4032"/>
    <w:rsid w:val="00BC4704"/>
    <w:rsid w:val="00BC5423"/>
    <w:rsid w:val="00BC5A6E"/>
    <w:rsid w:val="00BC6818"/>
    <w:rsid w:val="00BC6819"/>
    <w:rsid w:val="00BC6F27"/>
    <w:rsid w:val="00BD0ABB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5C83"/>
    <w:rsid w:val="00BD6696"/>
    <w:rsid w:val="00BE123D"/>
    <w:rsid w:val="00BE27F4"/>
    <w:rsid w:val="00BE2F57"/>
    <w:rsid w:val="00BE351E"/>
    <w:rsid w:val="00BE4BDF"/>
    <w:rsid w:val="00BE6236"/>
    <w:rsid w:val="00BE7DB7"/>
    <w:rsid w:val="00BE7E49"/>
    <w:rsid w:val="00BF0E82"/>
    <w:rsid w:val="00BF15C6"/>
    <w:rsid w:val="00BF23DD"/>
    <w:rsid w:val="00BF282C"/>
    <w:rsid w:val="00BF42FE"/>
    <w:rsid w:val="00BF6526"/>
    <w:rsid w:val="00BF65C1"/>
    <w:rsid w:val="00BF683F"/>
    <w:rsid w:val="00BF74C9"/>
    <w:rsid w:val="00BF7ACE"/>
    <w:rsid w:val="00C00572"/>
    <w:rsid w:val="00C00BF5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3CD8"/>
    <w:rsid w:val="00C14425"/>
    <w:rsid w:val="00C16EB1"/>
    <w:rsid w:val="00C172DE"/>
    <w:rsid w:val="00C17DD8"/>
    <w:rsid w:val="00C20240"/>
    <w:rsid w:val="00C20930"/>
    <w:rsid w:val="00C21113"/>
    <w:rsid w:val="00C22840"/>
    <w:rsid w:val="00C25ECE"/>
    <w:rsid w:val="00C30115"/>
    <w:rsid w:val="00C31FC9"/>
    <w:rsid w:val="00C3290A"/>
    <w:rsid w:val="00C32A01"/>
    <w:rsid w:val="00C32B2C"/>
    <w:rsid w:val="00C32C03"/>
    <w:rsid w:val="00C32FD7"/>
    <w:rsid w:val="00C3405C"/>
    <w:rsid w:val="00C34207"/>
    <w:rsid w:val="00C34BAF"/>
    <w:rsid w:val="00C34C0E"/>
    <w:rsid w:val="00C34E25"/>
    <w:rsid w:val="00C355DE"/>
    <w:rsid w:val="00C3561A"/>
    <w:rsid w:val="00C36654"/>
    <w:rsid w:val="00C36A42"/>
    <w:rsid w:val="00C3778D"/>
    <w:rsid w:val="00C37C80"/>
    <w:rsid w:val="00C37FE3"/>
    <w:rsid w:val="00C40375"/>
    <w:rsid w:val="00C40506"/>
    <w:rsid w:val="00C40FAA"/>
    <w:rsid w:val="00C41429"/>
    <w:rsid w:val="00C42478"/>
    <w:rsid w:val="00C42EEA"/>
    <w:rsid w:val="00C43205"/>
    <w:rsid w:val="00C444B2"/>
    <w:rsid w:val="00C446A6"/>
    <w:rsid w:val="00C44F36"/>
    <w:rsid w:val="00C46B61"/>
    <w:rsid w:val="00C5144D"/>
    <w:rsid w:val="00C5251E"/>
    <w:rsid w:val="00C52E09"/>
    <w:rsid w:val="00C54DBA"/>
    <w:rsid w:val="00C550A3"/>
    <w:rsid w:val="00C565AC"/>
    <w:rsid w:val="00C56F55"/>
    <w:rsid w:val="00C57BA4"/>
    <w:rsid w:val="00C57D07"/>
    <w:rsid w:val="00C606E6"/>
    <w:rsid w:val="00C630F9"/>
    <w:rsid w:val="00C635EB"/>
    <w:rsid w:val="00C636EB"/>
    <w:rsid w:val="00C6400E"/>
    <w:rsid w:val="00C65BE3"/>
    <w:rsid w:val="00C704E0"/>
    <w:rsid w:val="00C71C0C"/>
    <w:rsid w:val="00C71D64"/>
    <w:rsid w:val="00C72E51"/>
    <w:rsid w:val="00C737D3"/>
    <w:rsid w:val="00C751B9"/>
    <w:rsid w:val="00C75A08"/>
    <w:rsid w:val="00C7681E"/>
    <w:rsid w:val="00C76B88"/>
    <w:rsid w:val="00C8054D"/>
    <w:rsid w:val="00C83483"/>
    <w:rsid w:val="00C83BEC"/>
    <w:rsid w:val="00C83F21"/>
    <w:rsid w:val="00C85BF2"/>
    <w:rsid w:val="00C86887"/>
    <w:rsid w:val="00C90BA9"/>
    <w:rsid w:val="00C91519"/>
    <w:rsid w:val="00C917D1"/>
    <w:rsid w:val="00C919C8"/>
    <w:rsid w:val="00C92C43"/>
    <w:rsid w:val="00C9366E"/>
    <w:rsid w:val="00C936C9"/>
    <w:rsid w:val="00C93844"/>
    <w:rsid w:val="00C93880"/>
    <w:rsid w:val="00C94000"/>
    <w:rsid w:val="00C95131"/>
    <w:rsid w:val="00C951B3"/>
    <w:rsid w:val="00C957BA"/>
    <w:rsid w:val="00CA0A69"/>
    <w:rsid w:val="00CA0C88"/>
    <w:rsid w:val="00CA157F"/>
    <w:rsid w:val="00CA1647"/>
    <w:rsid w:val="00CA16C3"/>
    <w:rsid w:val="00CA32BB"/>
    <w:rsid w:val="00CA3386"/>
    <w:rsid w:val="00CA33D1"/>
    <w:rsid w:val="00CA3B1E"/>
    <w:rsid w:val="00CA4101"/>
    <w:rsid w:val="00CA419D"/>
    <w:rsid w:val="00CA4487"/>
    <w:rsid w:val="00CA4BB7"/>
    <w:rsid w:val="00CA4FBE"/>
    <w:rsid w:val="00CA5511"/>
    <w:rsid w:val="00CA6EF7"/>
    <w:rsid w:val="00CA78F4"/>
    <w:rsid w:val="00CB0840"/>
    <w:rsid w:val="00CB22AB"/>
    <w:rsid w:val="00CB3B9C"/>
    <w:rsid w:val="00CB42F5"/>
    <w:rsid w:val="00CB47B0"/>
    <w:rsid w:val="00CB4A88"/>
    <w:rsid w:val="00CB4BCD"/>
    <w:rsid w:val="00CB68F7"/>
    <w:rsid w:val="00CB7AE4"/>
    <w:rsid w:val="00CC062A"/>
    <w:rsid w:val="00CC0666"/>
    <w:rsid w:val="00CC1054"/>
    <w:rsid w:val="00CC1B06"/>
    <w:rsid w:val="00CC240B"/>
    <w:rsid w:val="00CC2B21"/>
    <w:rsid w:val="00CC30C9"/>
    <w:rsid w:val="00CC3262"/>
    <w:rsid w:val="00CC393D"/>
    <w:rsid w:val="00CC3E2A"/>
    <w:rsid w:val="00CC426E"/>
    <w:rsid w:val="00CC477C"/>
    <w:rsid w:val="00CC562A"/>
    <w:rsid w:val="00CC77E9"/>
    <w:rsid w:val="00CD0F0B"/>
    <w:rsid w:val="00CD169C"/>
    <w:rsid w:val="00CD2244"/>
    <w:rsid w:val="00CD5028"/>
    <w:rsid w:val="00CD71C5"/>
    <w:rsid w:val="00CE0643"/>
    <w:rsid w:val="00CE24FC"/>
    <w:rsid w:val="00CE25AB"/>
    <w:rsid w:val="00CE39E4"/>
    <w:rsid w:val="00CE76DB"/>
    <w:rsid w:val="00CF0004"/>
    <w:rsid w:val="00CF0089"/>
    <w:rsid w:val="00CF0A7C"/>
    <w:rsid w:val="00CF0EE8"/>
    <w:rsid w:val="00CF1102"/>
    <w:rsid w:val="00CF15D2"/>
    <w:rsid w:val="00CF2EBC"/>
    <w:rsid w:val="00CF5B80"/>
    <w:rsid w:val="00CF7307"/>
    <w:rsid w:val="00D01B4A"/>
    <w:rsid w:val="00D02A12"/>
    <w:rsid w:val="00D05F91"/>
    <w:rsid w:val="00D067D2"/>
    <w:rsid w:val="00D0696F"/>
    <w:rsid w:val="00D07595"/>
    <w:rsid w:val="00D10073"/>
    <w:rsid w:val="00D108EC"/>
    <w:rsid w:val="00D10DC3"/>
    <w:rsid w:val="00D1156A"/>
    <w:rsid w:val="00D11C62"/>
    <w:rsid w:val="00D11DB2"/>
    <w:rsid w:val="00D11DEA"/>
    <w:rsid w:val="00D13D11"/>
    <w:rsid w:val="00D1484F"/>
    <w:rsid w:val="00D15BCA"/>
    <w:rsid w:val="00D1650C"/>
    <w:rsid w:val="00D16DEB"/>
    <w:rsid w:val="00D17365"/>
    <w:rsid w:val="00D21A8A"/>
    <w:rsid w:val="00D21ABF"/>
    <w:rsid w:val="00D23FBE"/>
    <w:rsid w:val="00D248F3"/>
    <w:rsid w:val="00D24F2B"/>
    <w:rsid w:val="00D257F3"/>
    <w:rsid w:val="00D25F9F"/>
    <w:rsid w:val="00D2652E"/>
    <w:rsid w:val="00D26984"/>
    <w:rsid w:val="00D277DF"/>
    <w:rsid w:val="00D27BE2"/>
    <w:rsid w:val="00D30159"/>
    <w:rsid w:val="00D31964"/>
    <w:rsid w:val="00D31C04"/>
    <w:rsid w:val="00D32679"/>
    <w:rsid w:val="00D32B07"/>
    <w:rsid w:val="00D33491"/>
    <w:rsid w:val="00D339FB"/>
    <w:rsid w:val="00D340FD"/>
    <w:rsid w:val="00D35258"/>
    <w:rsid w:val="00D3550E"/>
    <w:rsid w:val="00D36A1D"/>
    <w:rsid w:val="00D37595"/>
    <w:rsid w:val="00D403C5"/>
    <w:rsid w:val="00D416D3"/>
    <w:rsid w:val="00D4342F"/>
    <w:rsid w:val="00D43989"/>
    <w:rsid w:val="00D50201"/>
    <w:rsid w:val="00D504BF"/>
    <w:rsid w:val="00D50818"/>
    <w:rsid w:val="00D5189C"/>
    <w:rsid w:val="00D5190B"/>
    <w:rsid w:val="00D51BF2"/>
    <w:rsid w:val="00D524FB"/>
    <w:rsid w:val="00D538ED"/>
    <w:rsid w:val="00D53F27"/>
    <w:rsid w:val="00D54A5B"/>
    <w:rsid w:val="00D56D61"/>
    <w:rsid w:val="00D575A4"/>
    <w:rsid w:val="00D57EB7"/>
    <w:rsid w:val="00D6091B"/>
    <w:rsid w:val="00D60D1D"/>
    <w:rsid w:val="00D60E41"/>
    <w:rsid w:val="00D61489"/>
    <w:rsid w:val="00D61F54"/>
    <w:rsid w:val="00D62CB6"/>
    <w:rsid w:val="00D64860"/>
    <w:rsid w:val="00D64CAB"/>
    <w:rsid w:val="00D65A40"/>
    <w:rsid w:val="00D6674B"/>
    <w:rsid w:val="00D66957"/>
    <w:rsid w:val="00D66D01"/>
    <w:rsid w:val="00D70D26"/>
    <w:rsid w:val="00D71868"/>
    <w:rsid w:val="00D71E75"/>
    <w:rsid w:val="00D7297F"/>
    <w:rsid w:val="00D72F2C"/>
    <w:rsid w:val="00D7408E"/>
    <w:rsid w:val="00D74BB9"/>
    <w:rsid w:val="00D75D07"/>
    <w:rsid w:val="00D760D1"/>
    <w:rsid w:val="00D76332"/>
    <w:rsid w:val="00D77AA2"/>
    <w:rsid w:val="00D807AD"/>
    <w:rsid w:val="00D80CC4"/>
    <w:rsid w:val="00D81D2F"/>
    <w:rsid w:val="00D82050"/>
    <w:rsid w:val="00D83C90"/>
    <w:rsid w:val="00D83DEB"/>
    <w:rsid w:val="00D840DB"/>
    <w:rsid w:val="00D841E9"/>
    <w:rsid w:val="00D85253"/>
    <w:rsid w:val="00D854C3"/>
    <w:rsid w:val="00D860D2"/>
    <w:rsid w:val="00D86974"/>
    <w:rsid w:val="00D86B32"/>
    <w:rsid w:val="00D870DC"/>
    <w:rsid w:val="00D87490"/>
    <w:rsid w:val="00D878E2"/>
    <w:rsid w:val="00D90C40"/>
    <w:rsid w:val="00D9166B"/>
    <w:rsid w:val="00D91694"/>
    <w:rsid w:val="00D92AF1"/>
    <w:rsid w:val="00D954BD"/>
    <w:rsid w:val="00D95E55"/>
    <w:rsid w:val="00D9626A"/>
    <w:rsid w:val="00DA0543"/>
    <w:rsid w:val="00DA12DB"/>
    <w:rsid w:val="00DA22DC"/>
    <w:rsid w:val="00DA53FA"/>
    <w:rsid w:val="00DA6450"/>
    <w:rsid w:val="00DA761F"/>
    <w:rsid w:val="00DA7AED"/>
    <w:rsid w:val="00DB1038"/>
    <w:rsid w:val="00DB1406"/>
    <w:rsid w:val="00DB1CB2"/>
    <w:rsid w:val="00DB2064"/>
    <w:rsid w:val="00DB2D0E"/>
    <w:rsid w:val="00DB2D1A"/>
    <w:rsid w:val="00DB2E3A"/>
    <w:rsid w:val="00DB32F5"/>
    <w:rsid w:val="00DB4F90"/>
    <w:rsid w:val="00DB5789"/>
    <w:rsid w:val="00DB5B2E"/>
    <w:rsid w:val="00DB5B57"/>
    <w:rsid w:val="00DB605C"/>
    <w:rsid w:val="00DB7272"/>
    <w:rsid w:val="00DB7B41"/>
    <w:rsid w:val="00DB7D63"/>
    <w:rsid w:val="00DC0EF7"/>
    <w:rsid w:val="00DC15DD"/>
    <w:rsid w:val="00DC2F4D"/>
    <w:rsid w:val="00DC3674"/>
    <w:rsid w:val="00DC3683"/>
    <w:rsid w:val="00DC6628"/>
    <w:rsid w:val="00DC68B4"/>
    <w:rsid w:val="00DC73EC"/>
    <w:rsid w:val="00DC7735"/>
    <w:rsid w:val="00DD00F5"/>
    <w:rsid w:val="00DD0280"/>
    <w:rsid w:val="00DD0DCD"/>
    <w:rsid w:val="00DD1C9B"/>
    <w:rsid w:val="00DD25FC"/>
    <w:rsid w:val="00DD2728"/>
    <w:rsid w:val="00DD3768"/>
    <w:rsid w:val="00DD4F00"/>
    <w:rsid w:val="00DD503B"/>
    <w:rsid w:val="00DD70C6"/>
    <w:rsid w:val="00DD7BFA"/>
    <w:rsid w:val="00DE07F8"/>
    <w:rsid w:val="00DE15C4"/>
    <w:rsid w:val="00DE1DCA"/>
    <w:rsid w:val="00DE2894"/>
    <w:rsid w:val="00DE2A5D"/>
    <w:rsid w:val="00DE386D"/>
    <w:rsid w:val="00DE3A7A"/>
    <w:rsid w:val="00DE3FFB"/>
    <w:rsid w:val="00DE457E"/>
    <w:rsid w:val="00DE5F65"/>
    <w:rsid w:val="00DE685B"/>
    <w:rsid w:val="00DE6DB4"/>
    <w:rsid w:val="00DE7452"/>
    <w:rsid w:val="00DE7684"/>
    <w:rsid w:val="00DF05FE"/>
    <w:rsid w:val="00DF0B80"/>
    <w:rsid w:val="00DF0BE7"/>
    <w:rsid w:val="00DF0CD2"/>
    <w:rsid w:val="00DF1545"/>
    <w:rsid w:val="00DF3535"/>
    <w:rsid w:val="00DF3EEA"/>
    <w:rsid w:val="00DF4FEC"/>
    <w:rsid w:val="00DF5860"/>
    <w:rsid w:val="00E019A1"/>
    <w:rsid w:val="00E01F9A"/>
    <w:rsid w:val="00E030B8"/>
    <w:rsid w:val="00E04214"/>
    <w:rsid w:val="00E04CBB"/>
    <w:rsid w:val="00E05416"/>
    <w:rsid w:val="00E07006"/>
    <w:rsid w:val="00E0702D"/>
    <w:rsid w:val="00E0759F"/>
    <w:rsid w:val="00E1038B"/>
    <w:rsid w:val="00E10D6C"/>
    <w:rsid w:val="00E11776"/>
    <w:rsid w:val="00E11835"/>
    <w:rsid w:val="00E1299F"/>
    <w:rsid w:val="00E13413"/>
    <w:rsid w:val="00E13AA3"/>
    <w:rsid w:val="00E14745"/>
    <w:rsid w:val="00E15608"/>
    <w:rsid w:val="00E15E1D"/>
    <w:rsid w:val="00E16395"/>
    <w:rsid w:val="00E16636"/>
    <w:rsid w:val="00E1796B"/>
    <w:rsid w:val="00E2218D"/>
    <w:rsid w:val="00E22A65"/>
    <w:rsid w:val="00E22BA7"/>
    <w:rsid w:val="00E239B7"/>
    <w:rsid w:val="00E241A0"/>
    <w:rsid w:val="00E2588F"/>
    <w:rsid w:val="00E25FBC"/>
    <w:rsid w:val="00E26A0A"/>
    <w:rsid w:val="00E2757A"/>
    <w:rsid w:val="00E3085A"/>
    <w:rsid w:val="00E311A8"/>
    <w:rsid w:val="00E32BEC"/>
    <w:rsid w:val="00E331BB"/>
    <w:rsid w:val="00E34B39"/>
    <w:rsid w:val="00E35217"/>
    <w:rsid w:val="00E36951"/>
    <w:rsid w:val="00E36DAE"/>
    <w:rsid w:val="00E42285"/>
    <w:rsid w:val="00E43759"/>
    <w:rsid w:val="00E43891"/>
    <w:rsid w:val="00E4499E"/>
    <w:rsid w:val="00E44D1B"/>
    <w:rsid w:val="00E4509F"/>
    <w:rsid w:val="00E45C77"/>
    <w:rsid w:val="00E45F8D"/>
    <w:rsid w:val="00E46604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2F07"/>
    <w:rsid w:val="00E53E0F"/>
    <w:rsid w:val="00E54291"/>
    <w:rsid w:val="00E54A4A"/>
    <w:rsid w:val="00E55C20"/>
    <w:rsid w:val="00E57815"/>
    <w:rsid w:val="00E57A3F"/>
    <w:rsid w:val="00E57A7B"/>
    <w:rsid w:val="00E57E4B"/>
    <w:rsid w:val="00E634FF"/>
    <w:rsid w:val="00E63E94"/>
    <w:rsid w:val="00E640D8"/>
    <w:rsid w:val="00E6639D"/>
    <w:rsid w:val="00E667E0"/>
    <w:rsid w:val="00E66D97"/>
    <w:rsid w:val="00E672DD"/>
    <w:rsid w:val="00E70523"/>
    <w:rsid w:val="00E70F82"/>
    <w:rsid w:val="00E717DD"/>
    <w:rsid w:val="00E7198F"/>
    <w:rsid w:val="00E71E1E"/>
    <w:rsid w:val="00E71FB3"/>
    <w:rsid w:val="00E7271F"/>
    <w:rsid w:val="00E7314E"/>
    <w:rsid w:val="00E73799"/>
    <w:rsid w:val="00E737B3"/>
    <w:rsid w:val="00E73AD5"/>
    <w:rsid w:val="00E741E9"/>
    <w:rsid w:val="00E7438B"/>
    <w:rsid w:val="00E74930"/>
    <w:rsid w:val="00E74D38"/>
    <w:rsid w:val="00E75067"/>
    <w:rsid w:val="00E7575E"/>
    <w:rsid w:val="00E75C49"/>
    <w:rsid w:val="00E75F30"/>
    <w:rsid w:val="00E76947"/>
    <w:rsid w:val="00E769FB"/>
    <w:rsid w:val="00E77A39"/>
    <w:rsid w:val="00E8057E"/>
    <w:rsid w:val="00E80AD0"/>
    <w:rsid w:val="00E80F6B"/>
    <w:rsid w:val="00E812EE"/>
    <w:rsid w:val="00E814AD"/>
    <w:rsid w:val="00E81775"/>
    <w:rsid w:val="00E82632"/>
    <w:rsid w:val="00E82A2B"/>
    <w:rsid w:val="00E84105"/>
    <w:rsid w:val="00E841A9"/>
    <w:rsid w:val="00E859ED"/>
    <w:rsid w:val="00E8626D"/>
    <w:rsid w:val="00E92376"/>
    <w:rsid w:val="00E94776"/>
    <w:rsid w:val="00E95F9D"/>
    <w:rsid w:val="00E96103"/>
    <w:rsid w:val="00E96889"/>
    <w:rsid w:val="00E97A27"/>
    <w:rsid w:val="00EA07D6"/>
    <w:rsid w:val="00EA0CD9"/>
    <w:rsid w:val="00EA1CA7"/>
    <w:rsid w:val="00EA22A3"/>
    <w:rsid w:val="00EA3205"/>
    <w:rsid w:val="00EA3CC8"/>
    <w:rsid w:val="00EA4101"/>
    <w:rsid w:val="00EA42F1"/>
    <w:rsid w:val="00EA4A17"/>
    <w:rsid w:val="00EA52AB"/>
    <w:rsid w:val="00EA5D6C"/>
    <w:rsid w:val="00EA5D88"/>
    <w:rsid w:val="00EA65A6"/>
    <w:rsid w:val="00EA6B8E"/>
    <w:rsid w:val="00EA7A93"/>
    <w:rsid w:val="00EB334A"/>
    <w:rsid w:val="00EB46F6"/>
    <w:rsid w:val="00EB57D7"/>
    <w:rsid w:val="00EB5BB0"/>
    <w:rsid w:val="00EB6B21"/>
    <w:rsid w:val="00EB7FEA"/>
    <w:rsid w:val="00EC01E8"/>
    <w:rsid w:val="00EC1940"/>
    <w:rsid w:val="00EC1A1B"/>
    <w:rsid w:val="00EC5CDF"/>
    <w:rsid w:val="00EC6461"/>
    <w:rsid w:val="00EC6751"/>
    <w:rsid w:val="00EC726D"/>
    <w:rsid w:val="00EC7983"/>
    <w:rsid w:val="00ED094E"/>
    <w:rsid w:val="00ED1456"/>
    <w:rsid w:val="00ED186A"/>
    <w:rsid w:val="00ED5709"/>
    <w:rsid w:val="00ED5B40"/>
    <w:rsid w:val="00ED5ECB"/>
    <w:rsid w:val="00ED6A9D"/>
    <w:rsid w:val="00ED7261"/>
    <w:rsid w:val="00ED72C5"/>
    <w:rsid w:val="00ED739F"/>
    <w:rsid w:val="00ED78F5"/>
    <w:rsid w:val="00EE079C"/>
    <w:rsid w:val="00EE25F1"/>
    <w:rsid w:val="00EE4DA1"/>
    <w:rsid w:val="00EE535A"/>
    <w:rsid w:val="00EE607D"/>
    <w:rsid w:val="00EE68FF"/>
    <w:rsid w:val="00EE6A2A"/>
    <w:rsid w:val="00EE7755"/>
    <w:rsid w:val="00EF09F0"/>
    <w:rsid w:val="00EF2C5E"/>
    <w:rsid w:val="00EF313A"/>
    <w:rsid w:val="00EF39D8"/>
    <w:rsid w:val="00EF3CAE"/>
    <w:rsid w:val="00EF464D"/>
    <w:rsid w:val="00EF49C4"/>
    <w:rsid w:val="00EF5060"/>
    <w:rsid w:val="00EF508A"/>
    <w:rsid w:val="00EF5BD4"/>
    <w:rsid w:val="00EF68D7"/>
    <w:rsid w:val="00EF78E4"/>
    <w:rsid w:val="00F00115"/>
    <w:rsid w:val="00F0027A"/>
    <w:rsid w:val="00F0045D"/>
    <w:rsid w:val="00F00C69"/>
    <w:rsid w:val="00F02BDE"/>
    <w:rsid w:val="00F0438C"/>
    <w:rsid w:val="00F04D5B"/>
    <w:rsid w:val="00F05201"/>
    <w:rsid w:val="00F05251"/>
    <w:rsid w:val="00F0569A"/>
    <w:rsid w:val="00F05CDB"/>
    <w:rsid w:val="00F0653E"/>
    <w:rsid w:val="00F066C8"/>
    <w:rsid w:val="00F06898"/>
    <w:rsid w:val="00F0700C"/>
    <w:rsid w:val="00F07B32"/>
    <w:rsid w:val="00F07C50"/>
    <w:rsid w:val="00F10771"/>
    <w:rsid w:val="00F10CEA"/>
    <w:rsid w:val="00F1130D"/>
    <w:rsid w:val="00F1141A"/>
    <w:rsid w:val="00F115CE"/>
    <w:rsid w:val="00F121AF"/>
    <w:rsid w:val="00F12473"/>
    <w:rsid w:val="00F125DA"/>
    <w:rsid w:val="00F16250"/>
    <w:rsid w:val="00F172DC"/>
    <w:rsid w:val="00F17464"/>
    <w:rsid w:val="00F17976"/>
    <w:rsid w:val="00F17C4B"/>
    <w:rsid w:val="00F20881"/>
    <w:rsid w:val="00F2205C"/>
    <w:rsid w:val="00F2285A"/>
    <w:rsid w:val="00F231B7"/>
    <w:rsid w:val="00F23C19"/>
    <w:rsid w:val="00F247C9"/>
    <w:rsid w:val="00F24BC4"/>
    <w:rsid w:val="00F265DA"/>
    <w:rsid w:val="00F27940"/>
    <w:rsid w:val="00F301B7"/>
    <w:rsid w:val="00F3072D"/>
    <w:rsid w:val="00F30D43"/>
    <w:rsid w:val="00F328F8"/>
    <w:rsid w:val="00F33A85"/>
    <w:rsid w:val="00F3499F"/>
    <w:rsid w:val="00F350BF"/>
    <w:rsid w:val="00F359BF"/>
    <w:rsid w:val="00F379BA"/>
    <w:rsid w:val="00F37C46"/>
    <w:rsid w:val="00F4073B"/>
    <w:rsid w:val="00F4077F"/>
    <w:rsid w:val="00F41698"/>
    <w:rsid w:val="00F429A0"/>
    <w:rsid w:val="00F4500A"/>
    <w:rsid w:val="00F46458"/>
    <w:rsid w:val="00F46F50"/>
    <w:rsid w:val="00F47E1E"/>
    <w:rsid w:val="00F5030F"/>
    <w:rsid w:val="00F50F8C"/>
    <w:rsid w:val="00F51E79"/>
    <w:rsid w:val="00F521CA"/>
    <w:rsid w:val="00F522C6"/>
    <w:rsid w:val="00F523A3"/>
    <w:rsid w:val="00F53124"/>
    <w:rsid w:val="00F53DAC"/>
    <w:rsid w:val="00F543CC"/>
    <w:rsid w:val="00F5639B"/>
    <w:rsid w:val="00F57CE0"/>
    <w:rsid w:val="00F6373A"/>
    <w:rsid w:val="00F6405A"/>
    <w:rsid w:val="00F649F6"/>
    <w:rsid w:val="00F66CE3"/>
    <w:rsid w:val="00F66FED"/>
    <w:rsid w:val="00F67091"/>
    <w:rsid w:val="00F675D8"/>
    <w:rsid w:val="00F70202"/>
    <w:rsid w:val="00F73BFF"/>
    <w:rsid w:val="00F73D71"/>
    <w:rsid w:val="00F75E2E"/>
    <w:rsid w:val="00F767B1"/>
    <w:rsid w:val="00F7745F"/>
    <w:rsid w:val="00F80274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429"/>
    <w:rsid w:val="00F92E1C"/>
    <w:rsid w:val="00F93074"/>
    <w:rsid w:val="00F94C2E"/>
    <w:rsid w:val="00F96530"/>
    <w:rsid w:val="00F968E7"/>
    <w:rsid w:val="00F96AAE"/>
    <w:rsid w:val="00F96C5F"/>
    <w:rsid w:val="00FA1612"/>
    <w:rsid w:val="00FA1889"/>
    <w:rsid w:val="00FA2EE6"/>
    <w:rsid w:val="00FA3144"/>
    <w:rsid w:val="00FA35DA"/>
    <w:rsid w:val="00FA3983"/>
    <w:rsid w:val="00FA3BE7"/>
    <w:rsid w:val="00FA4387"/>
    <w:rsid w:val="00FA4AC5"/>
    <w:rsid w:val="00FA5049"/>
    <w:rsid w:val="00FA5420"/>
    <w:rsid w:val="00FA6EE6"/>
    <w:rsid w:val="00FA7562"/>
    <w:rsid w:val="00FA7E87"/>
    <w:rsid w:val="00FB10BB"/>
    <w:rsid w:val="00FB1155"/>
    <w:rsid w:val="00FB16F3"/>
    <w:rsid w:val="00FB20B2"/>
    <w:rsid w:val="00FB237C"/>
    <w:rsid w:val="00FB3260"/>
    <w:rsid w:val="00FB474D"/>
    <w:rsid w:val="00FB511B"/>
    <w:rsid w:val="00FB54D0"/>
    <w:rsid w:val="00FB653F"/>
    <w:rsid w:val="00FB6ECB"/>
    <w:rsid w:val="00FB747A"/>
    <w:rsid w:val="00FC0450"/>
    <w:rsid w:val="00FC190B"/>
    <w:rsid w:val="00FC28FB"/>
    <w:rsid w:val="00FC2BF0"/>
    <w:rsid w:val="00FC328B"/>
    <w:rsid w:val="00FC3403"/>
    <w:rsid w:val="00FC372A"/>
    <w:rsid w:val="00FC45B6"/>
    <w:rsid w:val="00FC6DCE"/>
    <w:rsid w:val="00FD1B99"/>
    <w:rsid w:val="00FD1EC6"/>
    <w:rsid w:val="00FD2102"/>
    <w:rsid w:val="00FD30FB"/>
    <w:rsid w:val="00FD4AE8"/>
    <w:rsid w:val="00FD4C74"/>
    <w:rsid w:val="00FD5263"/>
    <w:rsid w:val="00FD594B"/>
    <w:rsid w:val="00FD609A"/>
    <w:rsid w:val="00FE032F"/>
    <w:rsid w:val="00FE0415"/>
    <w:rsid w:val="00FE13E7"/>
    <w:rsid w:val="00FE5540"/>
    <w:rsid w:val="00FE5B9A"/>
    <w:rsid w:val="00FE6586"/>
    <w:rsid w:val="00FE72D6"/>
    <w:rsid w:val="00FF18BF"/>
    <w:rsid w:val="00FF3AE6"/>
    <w:rsid w:val="00FF3CD5"/>
    <w:rsid w:val="00FF4EC6"/>
    <w:rsid w:val="00FF5A51"/>
    <w:rsid w:val="00FF5A9F"/>
    <w:rsid w:val="00FF657B"/>
    <w:rsid w:val="00FF77CC"/>
    <w:rsid w:val="00FF788D"/>
    <w:rsid w:val="0909A914"/>
    <w:rsid w:val="0B50A95C"/>
    <w:rsid w:val="186911A8"/>
    <w:rsid w:val="2038FB5B"/>
    <w:rsid w:val="23F5CFD7"/>
    <w:rsid w:val="24FC0606"/>
    <w:rsid w:val="2528418E"/>
    <w:rsid w:val="301C2105"/>
    <w:rsid w:val="45B9D5E1"/>
    <w:rsid w:val="4820FDAD"/>
    <w:rsid w:val="56573A1D"/>
    <w:rsid w:val="56A8E847"/>
    <w:rsid w:val="65DDFF7A"/>
    <w:rsid w:val="697FAE6E"/>
    <w:rsid w:val="6D214EE6"/>
    <w:rsid w:val="7727A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6FA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2026-03-30T05:51:00Z</dcterms:created>
  <dcterms:modified xsi:type="dcterms:W3CDTF">2026-03-30T05:51:00Z</dcterms:modified>
</cp:coreProperties>
</file>