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84E70" w14:textId="77777777" w:rsidR="00664437" w:rsidRDefault="00664437">
      <w:pPr>
        <w:jc w:val="center"/>
        <w:rPr>
          <w:rFonts w:ascii="Arial" w:eastAsia="Arial" w:hAnsi="Arial" w:cs="Arial"/>
          <w:b/>
          <w:bCs/>
          <w:color w:val="0070C0"/>
        </w:rPr>
      </w:pPr>
    </w:p>
    <w:p w14:paraId="5625F2C2" w14:textId="77777777" w:rsidR="00664437" w:rsidRDefault="00000000">
      <w:pPr>
        <w:jc w:val="center"/>
        <w:rPr>
          <w:rFonts w:ascii="Inter" w:eastAsia="Inter" w:hAnsi="Inter" w:cs="Inter"/>
          <w:b/>
          <w:bCs/>
          <w:sz w:val="28"/>
          <w:szCs w:val="28"/>
        </w:rPr>
      </w:pPr>
      <w:proofErr w:type="spellStart"/>
      <w:r>
        <w:rPr>
          <w:rFonts w:ascii="Inter" w:eastAsia="Inter" w:hAnsi="Inter" w:cs="Inter"/>
          <w:b/>
          <w:bCs/>
          <w:sz w:val="28"/>
          <w:szCs w:val="28"/>
        </w:rPr>
        <w:t>Adyen</w:t>
      </w:r>
      <w:proofErr w:type="spellEnd"/>
      <w:r>
        <w:rPr>
          <w:rFonts w:ascii="Inter" w:eastAsia="Inter" w:hAnsi="Inter" w:cs="Inter"/>
          <w:b/>
          <w:bCs/>
          <w:sz w:val="28"/>
          <w:szCs w:val="28"/>
        </w:rPr>
        <w:t xml:space="preserve"> amplia il suo Partner Program per promuovere la crescita collaborativa e il successo dei clienti</w:t>
      </w:r>
    </w:p>
    <w:p w14:paraId="22ABA212" w14:textId="77777777" w:rsidR="00853891" w:rsidRDefault="00853891">
      <w:pPr>
        <w:jc w:val="both"/>
        <w:rPr>
          <w:rFonts w:ascii="Inter" w:eastAsia="Inter" w:hAnsi="Inter" w:cs="Inter"/>
          <w:b/>
          <w:bCs/>
        </w:rPr>
      </w:pPr>
    </w:p>
    <w:p w14:paraId="08DECEAD" w14:textId="1F0F7CB5" w:rsidR="00664437" w:rsidRDefault="00000000">
      <w:pPr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  <w:b/>
          <w:bCs/>
        </w:rPr>
        <w:t xml:space="preserve">Milano, </w:t>
      </w:r>
      <w:r w:rsidR="00853891">
        <w:rPr>
          <w:rFonts w:ascii="Inter" w:eastAsia="Inter" w:hAnsi="Inter" w:cs="Inter"/>
          <w:b/>
          <w:bCs/>
        </w:rPr>
        <w:t>26</w:t>
      </w:r>
      <w:r>
        <w:rPr>
          <w:rFonts w:ascii="Inter" w:eastAsia="Inter" w:hAnsi="Inter" w:cs="Inter"/>
          <w:b/>
          <w:bCs/>
        </w:rPr>
        <w:t xml:space="preserve"> </w:t>
      </w:r>
      <w:r w:rsidR="00853891">
        <w:rPr>
          <w:rFonts w:ascii="Inter" w:eastAsia="Inter" w:hAnsi="Inter" w:cs="Inter"/>
          <w:b/>
          <w:bCs/>
        </w:rPr>
        <w:t>marzo</w:t>
      </w:r>
      <w:r>
        <w:rPr>
          <w:rFonts w:ascii="Inter" w:eastAsia="Inter" w:hAnsi="Inter" w:cs="Inter"/>
          <w:b/>
          <w:bCs/>
        </w:rPr>
        <w:t xml:space="preserve"> 20</w:t>
      </w:r>
      <w:r w:rsidR="00853891">
        <w:rPr>
          <w:rFonts w:ascii="Inter" w:eastAsia="Inter" w:hAnsi="Inter" w:cs="Inter"/>
          <w:b/>
          <w:bCs/>
        </w:rPr>
        <w:t>26</w:t>
      </w:r>
      <w:r>
        <w:rPr>
          <w:rFonts w:ascii="Inter" w:eastAsia="Inter" w:hAnsi="Inter" w:cs="Inter"/>
        </w:rPr>
        <w:t xml:space="preserve"> – </w:t>
      </w:r>
      <w:hyperlink r:id="rId7">
        <w:proofErr w:type="spellStart"/>
        <w:r>
          <w:rPr>
            <w:rFonts w:ascii="Inter" w:eastAsia="Inter" w:hAnsi="Inter" w:cs="Inter"/>
            <w:color w:val="467886"/>
            <w:u w:val="single"/>
          </w:rPr>
          <w:t>Adyen</w:t>
        </w:r>
        <w:proofErr w:type="spellEnd"/>
      </w:hyperlink>
      <w:r>
        <w:rPr>
          <w:rFonts w:ascii="Inter" w:eastAsia="Inter" w:hAnsi="Inter" w:cs="Inter"/>
        </w:rPr>
        <w:t>, piattaforma tecnologico finanziaria scelta da molte aziende leader a livello globale,</w:t>
      </w:r>
      <w:r>
        <w:rPr>
          <w:rFonts w:ascii="Inter" w:eastAsia="Inter" w:hAnsi="Inter" w:cs="Inter"/>
          <w:highlight w:val="white"/>
        </w:rPr>
        <w:t xml:space="preserve"> amplia il su</w:t>
      </w:r>
      <w:r>
        <w:rPr>
          <w:rFonts w:ascii="Inter" w:eastAsia="Inter" w:hAnsi="Inter" w:cs="Inter"/>
        </w:rPr>
        <w:t xml:space="preserve">o Partner Program globale, ideato per sostenere la rete di partner </w:t>
      </w:r>
      <w:proofErr w:type="spellStart"/>
      <w:r>
        <w:rPr>
          <w:rFonts w:ascii="Inter" w:eastAsia="Inter" w:hAnsi="Inter" w:cs="Inter"/>
        </w:rPr>
        <w:t>Adyen</w:t>
      </w:r>
      <w:proofErr w:type="spellEnd"/>
      <w:r>
        <w:rPr>
          <w:rFonts w:ascii="Inter" w:eastAsia="Inter" w:hAnsi="Inter" w:cs="Inter"/>
        </w:rPr>
        <w:t xml:space="preserve">, che conta più di 1.000 aziende, e incrementare il successo dei clienti comuni in tutto il mondo attraverso una collaborazione più stretta. Il programma offre un quadro completo di risorse, supporto e incentivi, consentendo ai partner interessati di beneficiare della piattaforma unica di </w:t>
      </w:r>
      <w:proofErr w:type="spellStart"/>
      <w:r>
        <w:rPr>
          <w:rFonts w:ascii="Inter" w:eastAsia="Inter" w:hAnsi="Inter" w:cs="Inter"/>
        </w:rPr>
        <w:t>Adyen</w:t>
      </w:r>
      <w:proofErr w:type="spellEnd"/>
      <w:r>
        <w:rPr>
          <w:rFonts w:ascii="Inter" w:eastAsia="Inter" w:hAnsi="Inter" w:cs="Inter"/>
        </w:rPr>
        <w:t xml:space="preserve"> e di generare valore per i clienti condivisi.</w:t>
      </w:r>
    </w:p>
    <w:p w14:paraId="66AB8049" w14:textId="77777777" w:rsidR="00664437" w:rsidRDefault="00000000">
      <w:pPr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Riconoscendo il ruolo fondamentale svolto dai partner nell’ecosistema, il Partner Program di </w:t>
      </w:r>
      <w:proofErr w:type="spellStart"/>
      <w:r>
        <w:rPr>
          <w:rFonts w:ascii="Inter" w:eastAsia="Inter" w:hAnsi="Inter" w:cs="Inter"/>
        </w:rPr>
        <w:t>Adyen</w:t>
      </w:r>
      <w:proofErr w:type="spellEnd"/>
      <w:r>
        <w:rPr>
          <w:rFonts w:ascii="Inter" w:eastAsia="Inter" w:hAnsi="Inter" w:cs="Inter"/>
        </w:rPr>
        <w:t xml:space="preserve"> si basa su una filosofia di successo condiviso e crescita reciproca. In particolare, offre modelli di engagement personalizzati per diverse tipologie di partner, tra cui partner tecnologici, consulenti e system integrator, garantendo che ogni collaborazione sia ottimizzata per ottenere il massimo risultato.</w:t>
      </w:r>
    </w:p>
    <w:p w14:paraId="5C656E9F" w14:textId="77777777" w:rsidR="00664437" w:rsidRDefault="00000000">
      <w:pPr>
        <w:jc w:val="both"/>
        <w:rPr>
          <w:color w:val="0070C0"/>
        </w:rPr>
      </w:pPr>
      <w:r>
        <w:rPr>
          <w:rFonts w:ascii="Inter" w:eastAsia="Inter" w:hAnsi="Inter" w:cs="Inter"/>
        </w:rPr>
        <w:t>“</w:t>
      </w:r>
      <w:r>
        <w:rPr>
          <w:rFonts w:ascii="Inter" w:eastAsia="Inter" w:hAnsi="Inter" w:cs="Inter"/>
          <w:i/>
          <w:iCs/>
        </w:rPr>
        <w:t>I nostri</w:t>
      </w:r>
      <w:r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  <w:i/>
          <w:iCs/>
        </w:rPr>
        <w:t xml:space="preserve">partner rappresentano una parte fondamentale del network </w:t>
      </w:r>
      <w:proofErr w:type="spellStart"/>
      <w:r>
        <w:rPr>
          <w:rFonts w:ascii="Inter" w:eastAsia="Inter" w:hAnsi="Inter" w:cs="Inter"/>
          <w:i/>
          <w:iCs/>
        </w:rPr>
        <w:t>Adyen</w:t>
      </w:r>
      <w:proofErr w:type="spellEnd"/>
      <w:r>
        <w:rPr>
          <w:rFonts w:ascii="Inter" w:eastAsia="Inter" w:hAnsi="Inter" w:cs="Inter"/>
          <w:i/>
          <w:iCs/>
        </w:rPr>
        <w:t>, poiché contribuiscono a espandere la nostra presenza e a migliorare le soluzioni che mettiamo a disposizione dei clienti</w:t>
      </w:r>
      <w:r>
        <w:rPr>
          <w:rFonts w:ascii="Inter" w:eastAsia="Inter" w:hAnsi="Inter" w:cs="Inter"/>
        </w:rPr>
        <w:t xml:space="preserve">,” ha dichiarato </w:t>
      </w:r>
      <w:proofErr w:type="spellStart"/>
      <w:r>
        <w:rPr>
          <w:rFonts w:ascii="Inter" w:eastAsia="Inter" w:hAnsi="Inter" w:cs="Inter"/>
          <w:b/>
          <w:bCs/>
        </w:rPr>
        <w:t>Roelant</w:t>
      </w:r>
      <w:proofErr w:type="spellEnd"/>
      <w:r>
        <w:rPr>
          <w:rFonts w:ascii="Inter" w:eastAsia="Inter" w:hAnsi="Inter" w:cs="Inter"/>
          <w:b/>
          <w:bCs/>
        </w:rPr>
        <w:t xml:space="preserve"> </w:t>
      </w:r>
      <w:proofErr w:type="spellStart"/>
      <w:r>
        <w:rPr>
          <w:rFonts w:ascii="Inter" w:eastAsia="Inter" w:hAnsi="Inter" w:cs="Inter"/>
          <w:b/>
          <w:bCs/>
        </w:rPr>
        <w:t>Prins</w:t>
      </w:r>
      <w:proofErr w:type="spellEnd"/>
      <w:r>
        <w:rPr>
          <w:rFonts w:ascii="Inter" w:eastAsia="Inter" w:hAnsi="Inter" w:cs="Inter"/>
          <w:b/>
          <w:bCs/>
        </w:rPr>
        <w:t xml:space="preserve">, CCO di </w:t>
      </w:r>
      <w:proofErr w:type="spellStart"/>
      <w:r>
        <w:rPr>
          <w:rFonts w:ascii="Inter" w:eastAsia="Inter" w:hAnsi="Inter" w:cs="Inter"/>
          <w:b/>
          <w:bCs/>
        </w:rPr>
        <w:t>Adyen</w:t>
      </w:r>
      <w:proofErr w:type="spellEnd"/>
      <w:r>
        <w:rPr>
          <w:rFonts w:ascii="Inter" w:eastAsia="Inter" w:hAnsi="Inter" w:cs="Inter"/>
        </w:rPr>
        <w:t>. “</w:t>
      </w:r>
      <w:r>
        <w:rPr>
          <w:rFonts w:ascii="Inter" w:eastAsia="Inter" w:hAnsi="Inter" w:cs="Inter"/>
          <w:i/>
          <w:iCs/>
        </w:rPr>
        <w:t>Il rafforzamento di questo programma riflette il nostro impegno nell’investire in queste relazioni cruciali, fornendo ai nostri partner gli strumenti e il supporto necessari per prosperare e offrire ancora più soluzioni di alto livello ai nostri clienti comuni”.</w:t>
      </w:r>
    </w:p>
    <w:p w14:paraId="3A51BE80" w14:textId="77777777" w:rsidR="00664437" w:rsidRDefault="00000000">
      <w:pPr>
        <w:widowControl w:val="0"/>
        <w:spacing w:before="240" w:after="0" w:line="276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Il nuovo Partner Program di </w:t>
      </w:r>
      <w:proofErr w:type="spellStart"/>
      <w:r>
        <w:rPr>
          <w:rFonts w:ascii="Inter" w:eastAsia="Inter" w:hAnsi="Inter" w:cs="Inter"/>
        </w:rPr>
        <w:t>Adyen</w:t>
      </w:r>
      <w:proofErr w:type="spellEnd"/>
      <w:r>
        <w:rPr>
          <w:rFonts w:ascii="Inter" w:eastAsia="Inter" w:hAnsi="Inter" w:cs="Inter"/>
        </w:rPr>
        <w:t xml:space="preserve"> si distingue per le seguenti caratteristiche e i seguenti benefici:</w:t>
      </w:r>
    </w:p>
    <w:p w14:paraId="6D060E30" w14:textId="77777777" w:rsidR="0066443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Struttura a livelli e riconoscimento</w:t>
      </w:r>
      <w:r>
        <w:rPr>
          <w:rFonts w:ascii="Inter" w:eastAsia="Inter" w:hAnsi="Inter" w:cs="Inter"/>
          <w:color w:val="000000"/>
        </w:rPr>
        <w:t>: Il programma introduce un sistema a livelli ben definito che riconosce i partner in base al loro impegno, competenza e impatto,</w:t>
      </w:r>
      <w:r>
        <w:rPr>
          <w:color w:val="000000"/>
        </w:rPr>
        <w:t xml:space="preserve"> </w:t>
      </w:r>
      <w:r>
        <w:rPr>
          <w:rFonts w:ascii="Inter" w:eastAsia="Inter" w:hAnsi="Inter" w:cs="Inter"/>
          <w:color w:val="000000"/>
        </w:rPr>
        <w:t xml:space="preserve">mettendo in risalto coloro che offrono le migliori integrazioni e servizi professionali d’eccellenza. Man mano che i partner avanzano nei diversi livelli ottengono benefici sempre più rilevanti, tra cui supporto tecnico avanzato, gestione dedicata dei partner, accesso esclusivo alle roadmap dei prodotti e tavole rotonde con la leadership, oltre all’assistenza marketing offerta da </w:t>
      </w:r>
      <w:proofErr w:type="spellStart"/>
      <w:r>
        <w:rPr>
          <w:rFonts w:ascii="Inter" w:eastAsia="Inter" w:hAnsi="Inter" w:cs="Inter"/>
          <w:color w:val="000000"/>
        </w:rPr>
        <w:t>Adyen</w:t>
      </w:r>
      <w:proofErr w:type="spellEnd"/>
      <w:r>
        <w:rPr>
          <w:rFonts w:ascii="Inter" w:eastAsia="Inter" w:hAnsi="Inter" w:cs="Inter"/>
          <w:color w:val="000000"/>
        </w:rPr>
        <w:t>.</w:t>
      </w:r>
    </w:p>
    <w:p w14:paraId="1C5B318A" w14:textId="77777777" w:rsidR="00664437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Risorse personalizzate e supporto</w:t>
      </w:r>
      <w:r>
        <w:rPr>
          <w:rFonts w:ascii="Inter" w:eastAsia="Inter" w:hAnsi="Inter" w:cs="Inter"/>
          <w:color w:val="000000"/>
        </w:rPr>
        <w:t xml:space="preserve">: Poiché ogni partner ha esigenze specifiche, il programma offre una vasta gamma di risorse su misura, tra cui programmi di formazione e certificazione approfonditi, pensati per migliorare la conoscenza della piattaforma e delle soluzioni </w:t>
      </w:r>
      <w:proofErr w:type="spellStart"/>
      <w:r>
        <w:rPr>
          <w:rFonts w:ascii="Inter" w:eastAsia="Inter" w:hAnsi="Inter" w:cs="Inter"/>
          <w:color w:val="000000"/>
        </w:rPr>
        <w:t>Adyen</w:t>
      </w:r>
      <w:proofErr w:type="spellEnd"/>
      <w:r>
        <w:rPr>
          <w:rFonts w:ascii="Inter" w:eastAsia="Inter" w:hAnsi="Inter" w:cs="Inter"/>
          <w:color w:val="000000"/>
        </w:rPr>
        <w:t xml:space="preserve">. Inoltre, i partner hanno accesso a documentazione tecnica personalizzata e ambienti di test </w:t>
      </w:r>
      <w:r>
        <w:rPr>
          <w:rFonts w:ascii="Inter" w:eastAsia="Inter" w:hAnsi="Inter" w:cs="Inter"/>
          <w:color w:val="000000"/>
        </w:rPr>
        <w:lastRenderedPageBreak/>
        <w:t xml:space="preserve">all’interno del Partner Portal dedicato. Queste risorse consentono loro di consigliare e implementare con sicurezza le soluzioni più adatte per i </w:t>
      </w:r>
      <w:proofErr w:type="spellStart"/>
      <w:r>
        <w:rPr>
          <w:rFonts w:ascii="Inter" w:eastAsia="Inter" w:hAnsi="Inter" w:cs="Inter"/>
          <w:color w:val="000000"/>
        </w:rPr>
        <w:t>merchant</w:t>
      </w:r>
      <w:proofErr w:type="spellEnd"/>
      <w:r>
        <w:rPr>
          <w:rFonts w:ascii="Inter" w:eastAsia="Inter" w:hAnsi="Inter" w:cs="Inter"/>
          <w:color w:val="000000"/>
        </w:rPr>
        <w:t>.</w:t>
      </w:r>
    </w:p>
    <w:p w14:paraId="71883666" w14:textId="77777777" w:rsidR="00664437" w:rsidRDefault="00664437">
      <w:pPr>
        <w:widowControl w:val="0"/>
        <w:spacing w:after="0" w:line="276" w:lineRule="auto"/>
        <w:rPr>
          <w:rFonts w:ascii="Inter" w:eastAsia="Inter" w:hAnsi="Inter" w:cs="Inter"/>
          <w:b/>
          <w:bCs/>
          <w:highlight w:val="yellow"/>
        </w:rPr>
      </w:pPr>
    </w:p>
    <w:p w14:paraId="119BDAE6" w14:textId="77777777" w:rsidR="006644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Co-marketing e supporto alle vendite</w:t>
      </w:r>
      <w:r>
        <w:rPr>
          <w:rFonts w:ascii="Inter" w:eastAsia="Inter" w:hAnsi="Inter" w:cs="Inter"/>
          <w:color w:val="000000"/>
        </w:rPr>
        <w:t xml:space="preserve">: Il nuovo programma pone grande enfasi sulle iniziative comuni di go-to-market. I partner beneficiano di opportunità di co-marketing, tra cui un posizionamento preferenziale nella Partner Directory di </w:t>
      </w:r>
      <w:proofErr w:type="spellStart"/>
      <w:r>
        <w:rPr>
          <w:rFonts w:ascii="Inter" w:eastAsia="Inter" w:hAnsi="Inter" w:cs="Inter"/>
          <w:color w:val="000000"/>
        </w:rPr>
        <w:t>Adyen</w:t>
      </w:r>
      <w:proofErr w:type="spellEnd"/>
      <w:r>
        <w:rPr>
          <w:rFonts w:ascii="Inter" w:eastAsia="Inter" w:hAnsi="Inter" w:cs="Inter"/>
          <w:color w:val="000000"/>
        </w:rPr>
        <w:t xml:space="preserve">, accesso a badge approvati da </w:t>
      </w:r>
      <w:proofErr w:type="spellStart"/>
      <w:r>
        <w:rPr>
          <w:rFonts w:ascii="Inter" w:eastAsia="Inter" w:hAnsi="Inter" w:cs="Inter"/>
          <w:color w:val="000000"/>
        </w:rPr>
        <w:t>Adyen</w:t>
      </w:r>
      <w:proofErr w:type="spellEnd"/>
      <w:r>
        <w:rPr>
          <w:rFonts w:ascii="Inter" w:eastAsia="Inter" w:hAnsi="Inter" w:cs="Inter"/>
          <w:color w:val="000000"/>
        </w:rPr>
        <w:t xml:space="preserve"> e la possibilità di partecipare ad annunci congiunti sui clienti, case study e contenuti di </w:t>
      </w:r>
      <w:proofErr w:type="spellStart"/>
      <w:r>
        <w:rPr>
          <w:rFonts w:ascii="Inter" w:eastAsia="Inter" w:hAnsi="Inter" w:cs="Inter"/>
          <w:color w:val="000000"/>
        </w:rPr>
        <w:t>thought</w:t>
      </w:r>
      <w:proofErr w:type="spellEnd"/>
      <w:r>
        <w:rPr>
          <w:rFonts w:ascii="Inter" w:eastAsia="Inter" w:hAnsi="Inter" w:cs="Inter"/>
          <w:color w:val="000000"/>
        </w:rPr>
        <w:t xml:space="preserve"> leadership. I partner posizionati nei livelli più alti ottengono anche accesso ad un supporto marketing dedicato e a fondi di sviluppo marketing (</w:t>
      </w:r>
      <w:r>
        <w:rPr>
          <w:rFonts w:ascii="Inter" w:eastAsia="Inter" w:hAnsi="Inter" w:cs="Inter"/>
          <w:i/>
          <w:iCs/>
          <w:color w:val="000000"/>
        </w:rPr>
        <w:t>Market Development Fund</w:t>
      </w:r>
      <w:r>
        <w:rPr>
          <w:rFonts w:ascii="Inter" w:eastAsia="Inter" w:hAnsi="Inter" w:cs="Inter"/>
          <w:color w:val="000000"/>
        </w:rPr>
        <w:t>, MDF) per promuovere campagne e programmi condivisi.</w:t>
      </w:r>
    </w:p>
    <w:p w14:paraId="232955FD" w14:textId="7E9D9C45" w:rsidR="006644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Inter" w:eastAsia="Inter" w:hAnsi="Inter" w:cs="Inter"/>
          <w:b/>
          <w:bCs/>
          <w:color w:val="000000"/>
        </w:rPr>
        <w:t>Incentivi orientati alla crescita</w:t>
      </w:r>
      <w:r>
        <w:rPr>
          <w:rFonts w:ascii="Inter" w:eastAsia="Inter" w:hAnsi="Inter" w:cs="Inter"/>
          <w:color w:val="000000"/>
        </w:rPr>
        <w:t xml:space="preserve">: </w:t>
      </w:r>
      <w:proofErr w:type="spellStart"/>
      <w:r>
        <w:rPr>
          <w:rFonts w:ascii="Inter" w:eastAsia="Inter" w:hAnsi="Inter" w:cs="Inter"/>
          <w:color w:val="000000"/>
        </w:rPr>
        <w:t>Adyen</w:t>
      </w:r>
      <w:proofErr w:type="spellEnd"/>
      <w:r>
        <w:rPr>
          <w:rFonts w:ascii="Inter" w:eastAsia="Inter" w:hAnsi="Inter" w:cs="Inter"/>
          <w:color w:val="000000"/>
        </w:rPr>
        <w:t xml:space="preserve"> si impegna per il successo a lungo termine dei suoi partner. Il programma fornisce interessanti strumenti orientati alla crescita, tra cui un programma di </w:t>
      </w:r>
      <w:proofErr w:type="spellStart"/>
      <w:r>
        <w:rPr>
          <w:rFonts w:ascii="Inter" w:eastAsia="Inter" w:hAnsi="Inter" w:cs="Inter"/>
          <w:color w:val="000000"/>
        </w:rPr>
        <w:t>referral</w:t>
      </w:r>
      <w:proofErr w:type="spellEnd"/>
      <w:r>
        <w:rPr>
          <w:rFonts w:ascii="Inter" w:eastAsia="Inter" w:hAnsi="Inter" w:cs="Inter"/>
          <w:color w:val="000000"/>
        </w:rPr>
        <w:t xml:space="preserve"> che premia i partner per l’acquisizione di nuovi clienti o lead commerciali per </w:t>
      </w:r>
      <w:proofErr w:type="spellStart"/>
      <w:r>
        <w:rPr>
          <w:rFonts w:ascii="Inter" w:eastAsia="Inter" w:hAnsi="Inter" w:cs="Inter"/>
          <w:color w:val="000000"/>
        </w:rPr>
        <w:t>Adyen</w:t>
      </w:r>
      <w:proofErr w:type="spellEnd"/>
      <w:r>
        <w:rPr>
          <w:rFonts w:ascii="Inter" w:eastAsia="Inter" w:hAnsi="Inter" w:cs="Inter"/>
          <w:color w:val="000000"/>
        </w:rPr>
        <w:t xml:space="preserve">. I partner tecnologici possono anche accedere a opportunità di revenue sharing basate sul volume delle transazioni dei </w:t>
      </w:r>
      <w:proofErr w:type="spellStart"/>
      <w:r>
        <w:rPr>
          <w:rFonts w:ascii="Inter" w:eastAsia="Inter" w:hAnsi="Inter" w:cs="Inter"/>
          <w:color w:val="000000"/>
        </w:rPr>
        <w:t>merchant</w:t>
      </w:r>
      <w:proofErr w:type="spellEnd"/>
      <w:r>
        <w:rPr>
          <w:rFonts w:ascii="Inter" w:eastAsia="Inter" w:hAnsi="Inter" w:cs="Inter"/>
          <w:color w:val="000000"/>
        </w:rPr>
        <w:t xml:space="preserve">. Inoltre, i partner di servizi potrebbero avere diritto a fondi per l'implementazione, pensati per favorire un’adozione più </w:t>
      </w:r>
      <w:r>
        <w:rPr>
          <w:rFonts w:ascii="Inter" w:eastAsia="Inter" w:hAnsi="Inter" w:cs="Inter"/>
        </w:rPr>
        <w:t>agevole da</w:t>
      </w:r>
      <w:r>
        <w:rPr>
          <w:rFonts w:ascii="Inter" w:eastAsia="Inter" w:hAnsi="Inter" w:cs="Inter"/>
          <w:color w:val="000000"/>
        </w:rPr>
        <w:t xml:space="preserve"> parte dei clienti.</w:t>
      </w:r>
    </w:p>
    <w:p w14:paraId="03D499BD" w14:textId="77777777" w:rsidR="00664437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I partner già attivi sono invitati ad accedere al Partner Portal di </w:t>
      </w:r>
      <w:proofErr w:type="spellStart"/>
      <w:r>
        <w:rPr>
          <w:rFonts w:ascii="Inter" w:eastAsia="Inter" w:hAnsi="Inter" w:cs="Inter"/>
        </w:rPr>
        <w:t>Adyen</w:t>
      </w:r>
      <w:proofErr w:type="spellEnd"/>
      <w:r>
        <w:rPr>
          <w:rFonts w:ascii="Inter" w:eastAsia="Inter" w:hAnsi="Inter" w:cs="Inter"/>
        </w:rPr>
        <w:t xml:space="preserve"> per scoprire tutti i dettagli del nuovo programma e iniziare a usufruire dei vantaggi aggiuntivi. Chi desidera entrare a far parte dell’ecosistema </w:t>
      </w:r>
      <w:proofErr w:type="spellStart"/>
      <w:r>
        <w:rPr>
          <w:rFonts w:ascii="Inter" w:eastAsia="Inter" w:hAnsi="Inter" w:cs="Inter"/>
        </w:rPr>
        <w:t>Adyen</w:t>
      </w:r>
      <w:proofErr w:type="spellEnd"/>
      <w:r>
        <w:rPr>
          <w:rFonts w:ascii="Inter" w:eastAsia="Inter" w:hAnsi="Inter" w:cs="Inter"/>
        </w:rPr>
        <w:t xml:space="preserve"> può trovare ulteriori informazioni e inviare la propria candidatura sulla </w:t>
      </w:r>
      <w:hyperlink r:id="rId8">
        <w:r>
          <w:rPr>
            <w:rFonts w:ascii="Inter" w:eastAsia="Inter" w:hAnsi="Inter" w:cs="Inter"/>
            <w:color w:val="467886"/>
            <w:u w:val="single"/>
          </w:rPr>
          <w:t>pagina dedicat</w:t>
        </w:r>
        <w:r>
          <w:rPr>
            <w:rFonts w:ascii="Inter" w:eastAsia="Inter" w:hAnsi="Inter" w:cs="Inter"/>
            <w:color w:val="467886"/>
            <w:u w:val="single"/>
          </w:rPr>
          <w:t>a</w:t>
        </w:r>
        <w:r>
          <w:rPr>
            <w:rFonts w:ascii="Inter" w:eastAsia="Inter" w:hAnsi="Inter" w:cs="Inter"/>
            <w:color w:val="467886"/>
            <w:u w:val="single"/>
          </w:rPr>
          <w:t xml:space="preserve"> ai partner</w:t>
        </w:r>
      </w:hyperlink>
      <w:r>
        <w:rPr>
          <w:rFonts w:ascii="Inter" w:eastAsia="Inter" w:hAnsi="Inter" w:cs="Inter"/>
        </w:rPr>
        <w:t>.</w:t>
      </w:r>
    </w:p>
    <w:p w14:paraId="69EB51B5" w14:textId="77777777" w:rsidR="00853891" w:rsidRDefault="00853891">
      <w:pPr>
        <w:rPr>
          <w:rFonts w:ascii="Inter" w:eastAsia="Inter" w:hAnsi="Inter" w:cs="Inter"/>
          <w:b/>
          <w:bCs/>
          <w:i/>
          <w:iCs/>
          <w:color w:val="00112C"/>
          <w:sz w:val="20"/>
          <w:szCs w:val="20"/>
        </w:rPr>
      </w:pPr>
    </w:p>
    <w:p w14:paraId="0E1A9E70" w14:textId="2D7E861A" w:rsidR="00664437" w:rsidRDefault="00000000">
      <w:pPr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Inter" w:eastAsia="Inter" w:hAnsi="Inter" w:cs="Inter"/>
          <w:b/>
          <w:bCs/>
          <w:i/>
          <w:iCs/>
          <w:color w:val="00112C"/>
          <w:sz w:val="20"/>
          <w:szCs w:val="20"/>
        </w:rPr>
        <w:t xml:space="preserve">A proposito di </w:t>
      </w:r>
      <w:proofErr w:type="spellStart"/>
      <w:r>
        <w:rPr>
          <w:rFonts w:ascii="Inter" w:eastAsia="Inter" w:hAnsi="Inter" w:cs="Inter"/>
          <w:b/>
          <w:bCs/>
          <w:i/>
          <w:iCs/>
          <w:color w:val="00112C"/>
          <w:sz w:val="20"/>
          <w:szCs w:val="20"/>
        </w:rPr>
        <w:t>Adyen</w:t>
      </w:r>
      <w:proofErr w:type="spellEnd"/>
      <w:r>
        <w:rPr>
          <w:rFonts w:ascii="Inter" w:eastAsia="Inter" w:hAnsi="Inter" w:cs="Inter"/>
          <w:color w:val="00112C"/>
          <w:sz w:val="20"/>
          <w:szCs w:val="20"/>
        </w:rPr>
        <w:t> </w:t>
      </w:r>
    </w:p>
    <w:p w14:paraId="2E3CD9B3" w14:textId="77777777" w:rsidR="0066443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proofErr w:type="spellStart"/>
      <w:r>
        <w:rPr>
          <w:rFonts w:ascii="Inter" w:eastAsia="Inter" w:hAnsi="Inter" w:cs="Inter"/>
          <w:color w:val="00112C"/>
          <w:sz w:val="20"/>
          <w:szCs w:val="20"/>
        </w:rPr>
        <w:t>Adyen</w:t>
      </w:r>
      <w:proofErr w:type="spellEnd"/>
      <w:r>
        <w:rPr>
          <w:rFonts w:ascii="Inter" w:eastAsia="Inter" w:hAnsi="Inter" w:cs="Inter"/>
          <w:color w:val="00112C"/>
          <w:sz w:val="20"/>
          <w:szCs w:val="20"/>
        </w:rPr>
        <w:t xml:space="preserve"> (AMS: ADYEN) è la piattaforma tecnologico finanziaria scelta da molte delle aziende leader a livello mondiale che fornisce una moderna infrastruttura di pagamento end-to-end, approfondimenti data-</w:t>
      </w:r>
      <w:proofErr w:type="spellStart"/>
      <w:r>
        <w:rPr>
          <w:rFonts w:ascii="Inter" w:eastAsia="Inter" w:hAnsi="Inter" w:cs="Inter"/>
          <w:color w:val="00112C"/>
          <w:sz w:val="20"/>
          <w:szCs w:val="20"/>
        </w:rPr>
        <w:t>driven</w:t>
      </w:r>
      <w:proofErr w:type="spellEnd"/>
      <w:r>
        <w:rPr>
          <w:rFonts w:ascii="Inter" w:eastAsia="Inter" w:hAnsi="Inter" w:cs="Inter"/>
          <w:color w:val="00112C"/>
          <w:sz w:val="20"/>
          <w:szCs w:val="20"/>
        </w:rPr>
        <w:t xml:space="preserve"> e prodotti finanziari in un'unica soluzione integrata per aiutare le aziende a raggiungere le loro ambizioni, più velocemente. Con uffici in tutto il mondo, </w:t>
      </w:r>
      <w:proofErr w:type="spellStart"/>
      <w:r>
        <w:rPr>
          <w:rFonts w:ascii="Inter" w:eastAsia="Inter" w:hAnsi="Inter" w:cs="Inter"/>
          <w:color w:val="00112C"/>
          <w:sz w:val="20"/>
          <w:szCs w:val="20"/>
        </w:rPr>
        <w:t>Adyen</w:t>
      </w:r>
      <w:proofErr w:type="spellEnd"/>
      <w:r>
        <w:rPr>
          <w:rFonts w:ascii="Inter" w:eastAsia="Inter" w:hAnsi="Inter" w:cs="Inter"/>
          <w:color w:val="00112C"/>
          <w:sz w:val="20"/>
          <w:szCs w:val="20"/>
        </w:rPr>
        <w:t xml:space="preserve"> collabora con marchi del calibro di Meta, Uber, H&amp;M, eBay e Microsoft. </w:t>
      </w:r>
    </w:p>
    <w:p w14:paraId="6F78658A" w14:textId="77777777" w:rsidR="00664437" w:rsidRDefault="0066443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78DC6434" w14:textId="77777777" w:rsidR="00664437" w:rsidRDefault="00664437">
      <w:pPr>
        <w:jc w:val="both"/>
        <w:rPr>
          <w:rFonts w:ascii="Inter" w:eastAsia="Inter" w:hAnsi="Inter" w:cs="Inter"/>
          <w:color w:val="00112C"/>
          <w:sz w:val="20"/>
          <w:szCs w:val="20"/>
        </w:rPr>
      </w:pPr>
    </w:p>
    <w:p w14:paraId="39FD0F82" w14:textId="77777777" w:rsidR="00664437" w:rsidRDefault="00000000">
      <w:pPr>
        <w:jc w:val="both"/>
        <w:rPr>
          <w:rFonts w:ascii="Inter" w:eastAsia="Inter" w:hAnsi="Inter" w:cs="Inter"/>
          <w:color w:val="00112C"/>
          <w:sz w:val="20"/>
          <w:szCs w:val="20"/>
        </w:rPr>
      </w:pPr>
      <w:r>
        <w:rPr>
          <w:rFonts w:ascii="Inter" w:eastAsia="Inter" w:hAnsi="Inter" w:cs="Inter"/>
          <w:b/>
          <w:bCs/>
          <w:color w:val="00112C"/>
          <w:sz w:val="20"/>
          <w:szCs w:val="20"/>
        </w:rPr>
        <w:t xml:space="preserve">Contatti </w:t>
      </w:r>
      <w:proofErr w:type="spellStart"/>
      <w:r>
        <w:rPr>
          <w:rFonts w:ascii="Inter" w:eastAsia="Inter" w:hAnsi="Inter" w:cs="Inter"/>
          <w:b/>
          <w:bCs/>
          <w:color w:val="00112C"/>
          <w:sz w:val="20"/>
          <w:szCs w:val="20"/>
        </w:rPr>
        <w:t>Adyen</w:t>
      </w:r>
      <w:proofErr w:type="spellEnd"/>
      <w:r>
        <w:rPr>
          <w:rFonts w:ascii="Inter" w:eastAsia="Inter" w:hAnsi="Inter" w:cs="Inter"/>
          <w:color w:val="00112C"/>
          <w:sz w:val="20"/>
          <w:szCs w:val="20"/>
        </w:rPr>
        <w:t xml:space="preserve"> </w:t>
      </w:r>
    </w:p>
    <w:p w14:paraId="3C48C85E" w14:textId="77777777" w:rsidR="00664437" w:rsidRDefault="00000000">
      <w:pPr>
        <w:jc w:val="both"/>
        <w:rPr>
          <w:rFonts w:ascii="Inter" w:eastAsia="Inter" w:hAnsi="Inter" w:cs="Inter"/>
          <w:color w:val="00112C"/>
          <w:sz w:val="20"/>
          <w:szCs w:val="20"/>
        </w:rPr>
      </w:pPr>
      <w:r>
        <w:rPr>
          <w:rFonts w:ascii="Inter" w:eastAsia="Inter" w:hAnsi="Inter" w:cs="Inter"/>
          <w:color w:val="00112C"/>
          <w:sz w:val="20"/>
          <w:szCs w:val="20"/>
        </w:rPr>
        <w:t xml:space="preserve">Ufficio stampa TEAM LEWIS </w:t>
      </w:r>
    </w:p>
    <w:p w14:paraId="4F3B8554" w14:textId="77777777" w:rsidR="00664437" w:rsidRDefault="00000000">
      <w:pPr>
        <w:jc w:val="both"/>
        <w:rPr>
          <w:rFonts w:ascii="Inter" w:eastAsia="Inter" w:hAnsi="Inter" w:cs="Inter"/>
          <w:color w:val="00112C"/>
          <w:sz w:val="20"/>
          <w:szCs w:val="20"/>
        </w:rPr>
      </w:pPr>
      <w:r>
        <w:rPr>
          <w:rFonts w:ascii="Inter" w:eastAsia="Inter" w:hAnsi="Inter" w:cs="Inter"/>
          <w:color w:val="00112C"/>
          <w:sz w:val="20"/>
          <w:szCs w:val="20"/>
        </w:rPr>
        <w:t>Alessandro Zambetti, Deborah Amato</w:t>
      </w:r>
    </w:p>
    <w:p w14:paraId="3976D6C9" w14:textId="77777777" w:rsidR="00664437" w:rsidRDefault="00000000">
      <w:pPr>
        <w:spacing w:after="100"/>
        <w:jc w:val="both"/>
        <w:rPr>
          <w:rFonts w:ascii="Inter" w:eastAsia="Inter" w:hAnsi="Inter" w:cs="Inter"/>
          <w:color w:val="00112C"/>
          <w:sz w:val="20"/>
          <w:szCs w:val="20"/>
        </w:rPr>
      </w:pPr>
      <w:hyperlink r:id="rId9">
        <w:r>
          <w:rPr>
            <w:rFonts w:ascii="Inter" w:eastAsia="Inter" w:hAnsi="Inter" w:cs="Inter"/>
            <w:color w:val="467886"/>
            <w:sz w:val="20"/>
            <w:szCs w:val="20"/>
            <w:u w:val="single"/>
          </w:rPr>
          <w:t>AdyenItaly@teamlewis.com</w:t>
        </w:r>
      </w:hyperlink>
      <w:r>
        <w:rPr>
          <w:rFonts w:ascii="Inter" w:eastAsia="Inter" w:hAnsi="Inter" w:cs="Inter"/>
          <w:color w:val="00112C"/>
          <w:sz w:val="20"/>
          <w:szCs w:val="20"/>
        </w:rPr>
        <w:t xml:space="preserve"> </w:t>
      </w:r>
    </w:p>
    <w:p w14:paraId="1F1AACBF" w14:textId="77777777" w:rsidR="00664437" w:rsidRDefault="00000000">
      <w:pPr>
        <w:spacing w:after="100"/>
        <w:jc w:val="both"/>
        <w:rPr>
          <w:rFonts w:ascii="Inter" w:eastAsia="Inter" w:hAnsi="Inter" w:cs="Inter"/>
          <w:color w:val="00112C"/>
          <w:sz w:val="20"/>
          <w:szCs w:val="20"/>
        </w:rPr>
      </w:pPr>
      <w:r>
        <w:rPr>
          <w:rFonts w:ascii="Inter" w:eastAsia="Inter" w:hAnsi="Inter" w:cs="Inter"/>
          <w:color w:val="00112C"/>
          <w:sz w:val="20"/>
          <w:szCs w:val="20"/>
        </w:rPr>
        <w:t xml:space="preserve">Tel. 02 36531375 </w:t>
      </w:r>
    </w:p>
    <w:p w14:paraId="5D61D90D" w14:textId="77777777" w:rsidR="00664437" w:rsidRDefault="00000000">
      <w:pPr>
        <w:spacing w:after="100"/>
        <w:jc w:val="both"/>
        <w:rPr>
          <w:rFonts w:ascii="Inter" w:eastAsia="Inter" w:hAnsi="Inter" w:cs="Inter"/>
          <w:color w:val="00112C"/>
          <w:sz w:val="20"/>
          <w:szCs w:val="20"/>
        </w:rPr>
      </w:pPr>
      <w:r>
        <w:rPr>
          <w:rFonts w:ascii="Inter" w:eastAsia="Inter" w:hAnsi="Inter" w:cs="Inter"/>
          <w:color w:val="00112C"/>
          <w:sz w:val="20"/>
          <w:szCs w:val="20"/>
        </w:rPr>
        <w:t>Cel. +39 3389241387</w:t>
      </w:r>
    </w:p>
    <w:sectPr w:rsidR="00664437">
      <w:head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6F185" w14:textId="77777777" w:rsidR="00951A10" w:rsidRDefault="00951A10">
      <w:pPr>
        <w:spacing w:after="0" w:line="240" w:lineRule="auto"/>
      </w:pPr>
      <w:r>
        <w:separator/>
      </w:r>
    </w:p>
  </w:endnote>
  <w:endnote w:type="continuationSeparator" w:id="0">
    <w:p w14:paraId="3321412F" w14:textId="77777777" w:rsidR="00951A10" w:rsidRDefault="0095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6CF2269F-4D45-C14F-9938-F9057A6817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2CD7815-42C0-9D40-A612-73BA6FF7B3F9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3B40E9F5-B146-704D-A039-2EC997D58263}"/>
    <w:embedItalic r:id="rId4" w:fontKey="{99A208F0-E26E-7C4C-82A2-C054BFAA3B56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5950C2B-93C4-0146-A64A-1DEA2333E3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7" w:fontKey="{65A287C1-424F-F140-B743-86EF71C9F7BB}"/>
  </w:font>
  <w:font w:name="Inter">
    <w:altName w:val="Calibri"/>
    <w:panose1 w:val="020B0604020202020204"/>
    <w:charset w:val="00"/>
    <w:family w:val="auto"/>
    <w:pitch w:val="default"/>
    <w:embedRegular r:id="rId8" w:fontKey="{EF7B18DF-0836-FB4F-B781-DF610808EF49}"/>
    <w:embedBold r:id="rId9" w:fontKey="{BC7472BB-5A21-C644-81B0-62472C569C69}"/>
    <w:embedItalic r:id="rId10" w:fontKey="{EC91BE7D-97A2-5D43-A5A1-7DE0365B36E4}"/>
    <w:embedBoldItalic r:id="rId11" w:fontKey="{8D6D0008-FEF3-8C4C-96C7-1EDF96119DF5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B6838309-E213-0B46-8214-5A41DE5820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80198592-8A30-D04D-9DC5-6383A524FB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1E3793D3-A4D8-464B-AD9D-FA49CE185C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D67B4" w14:textId="77777777" w:rsidR="00951A10" w:rsidRDefault="00951A10">
      <w:pPr>
        <w:spacing w:after="0" w:line="240" w:lineRule="auto"/>
      </w:pPr>
      <w:r>
        <w:separator/>
      </w:r>
    </w:p>
  </w:footnote>
  <w:footnote w:type="continuationSeparator" w:id="0">
    <w:p w14:paraId="599C5239" w14:textId="77777777" w:rsidR="00951A10" w:rsidRDefault="00951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98370" w14:textId="77777777" w:rsidR="006644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8567EB3" wp14:editId="19476528">
          <wp:extent cx="641985" cy="641985"/>
          <wp:effectExtent l="0" t="0" r="0" b="0"/>
          <wp:docPr id="1" name="image1.png" descr="Immagine che contiene logo, simbolo, Elementi grafici, Carattere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, simbolo, Elementi grafici, Carattere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26FE8"/>
    <w:multiLevelType w:val="multilevel"/>
    <w:tmpl w:val="B36E3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3551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437"/>
    <w:rsid w:val="00664437"/>
    <w:rsid w:val="00784648"/>
    <w:rsid w:val="00853891"/>
    <w:rsid w:val="00951A10"/>
    <w:rsid w:val="00FF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07F130"/>
  <w15:docId w15:val="{9C92BE50-F0F7-A840-AD4F-86D9A92F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yen.com/it_IT/partne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adyen.com/it_IT/landing/un-unica-piattaforma-tecnologico-finanziaria?utm_source=google&amp;utm_source=Google&amp;utm_medium=cpc&amp;utm_medium=Online+Advertising&amp;utm_campaign=2021_01_AD_IT_SEARCH-BRANDEXACT-BRANDEXACT_GSN_DECI_CON_SEARCH_BRAND_%5bIT%5d_BE&amp;utm_campaign=2022.00-SEA-IT-Brand_Exact&amp;gad_source=1&amp;gad_campaignid=9773948787&amp;gbraid=0AAAAADpEEr0W2-3qHRpyRT4iKRABxWtEQ&amp;gclid=Cj0KCQjw5JXFBhCrARIsAL1ckPuOYJtn1v3lH0c18JFsSvDX1W8cvtCL1Kmv6PipVaBbgcRj71CqK9MaAipQEALw_wc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dyenItaly@teamlewi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793</Words>
  <Characters>4668</Characters>
  <Application>Microsoft Office Word</Application>
  <DocSecurity>0</DocSecurity>
  <Lines>84</Lines>
  <Paragraphs>23</Paragraphs>
  <ScaleCrop>false</ScaleCrop>
  <Company/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Zambetti</cp:lastModifiedBy>
  <cp:revision>3</cp:revision>
  <dcterms:created xsi:type="dcterms:W3CDTF">2026-03-26T10:30:00Z</dcterms:created>
  <dcterms:modified xsi:type="dcterms:W3CDTF">2026-03-26T10:34:00Z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0x01010003B16AD2E81BC3458CC1FE8E1A8458C7</vt:lpwstr>
  </property>
  <property fmtid="{D5CDD505-2E9C-101B-9397-08002B2CF9AE}" pid="3" name="MediaServiceImageTags">
    <vt:lpwstr>MediaServiceImageTags</vt:lpwstr>
  </property>
</Properties>
</file>