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1025" w14:textId="77777777" w:rsidR="00826C43" w:rsidRPr="00826C43" w:rsidRDefault="00826C43" w:rsidP="00826C43">
      <w:pPr>
        <w:spacing w:after="160" w:line="259" w:lineRule="auto"/>
        <w:rPr>
          <w:rFonts w:ascii="Noto Sans" w:eastAsiaTheme="minorHAnsi" w:hAnsi="Noto Sans" w:cs="Noto Sans"/>
          <w:b/>
          <w:bCs/>
          <w:sz w:val="28"/>
          <w:szCs w:val="28"/>
          <w:lang w:val="es-ES"/>
        </w:rPr>
      </w:pPr>
      <w:r w:rsidRPr="00826C43">
        <w:rPr>
          <w:rFonts w:ascii="Noto Sans" w:eastAsiaTheme="minorHAnsi" w:hAnsi="Noto Sans" w:cs="Noto Sans"/>
          <w:b/>
          <w:bCs/>
          <w:sz w:val="28"/>
          <w:szCs w:val="28"/>
          <w:lang w:val="fr"/>
        </w:rPr>
        <w:t>Réflexion de Domino</w:t>
      </w:r>
    </w:p>
    <w:p w14:paraId="37B2142A" w14:textId="77777777" w:rsidR="00826C43" w:rsidRPr="00826C43" w:rsidRDefault="00826C43" w:rsidP="00826C43">
      <w:pPr>
        <w:spacing w:after="160" w:line="259" w:lineRule="auto"/>
        <w:rPr>
          <w:rFonts w:ascii="Noto Sans" w:eastAsiaTheme="minorHAnsi" w:hAnsi="Noto Sans" w:cs="Noto Sans"/>
          <w:b/>
          <w:bCs/>
          <w:i/>
          <w:iCs/>
          <w:color w:val="1C1C1C"/>
          <w:sz w:val="22"/>
          <w:shd w:val="clear" w:color="auto" w:fill="FFFFFF"/>
          <w:lang w:val="es-ES"/>
        </w:rPr>
      </w:pPr>
      <w:r w:rsidRPr="00826C43">
        <w:rPr>
          <w:rFonts w:ascii="Noto Sans" w:eastAsiaTheme="minorHAnsi" w:hAnsi="Noto Sans" w:cs="Noto Sans"/>
          <w:b/>
          <w:bCs/>
          <w:color w:val="1C1C1C"/>
          <w:sz w:val="22"/>
          <w:shd w:val="clear" w:color="auto" w:fill="FFFFFF"/>
          <w:lang w:val="fr"/>
        </w:rPr>
        <w:t>Dépasser les limites : Développement durable et efficacité des codes 2D GS1 dans la production de boissons</w:t>
      </w:r>
    </w:p>
    <w:p w14:paraId="45BC55FD" w14:textId="77777777" w:rsidR="00826C43" w:rsidRPr="00826C43" w:rsidRDefault="00826C43" w:rsidP="00826C43">
      <w:pPr>
        <w:spacing w:after="160" w:line="259" w:lineRule="auto"/>
        <w:jc w:val="both"/>
        <w:rPr>
          <w:rFonts w:ascii="Noto Sans" w:eastAsiaTheme="minorHAnsi" w:hAnsi="Noto Sans" w:cs="Noto Sans"/>
          <w:i/>
          <w:iCs/>
          <w:sz w:val="22"/>
          <w:lang w:val="fr"/>
        </w:rPr>
      </w:pPr>
      <w:r w:rsidRPr="00826C43">
        <w:rPr>
          <w:rFonts w:ascii="Noto Sans" w:eastAsiaTheme="minorHAnsi" w:hAnsi="Noto Sans" w:cs="Noto Sans"/>
          <w:i/>
          <w:iCs/>
          <w:sz w:val="22"/>
          <w:lang w:val="fr"/>
        </w:rPr>
        <w:t>La production industrielle de boissons est à la croisée des chemins. Les objectifs de développement durable, les exigences en matière d'efficacité opérationnelle et les attentes croissantes des consommateurs convergent pour exercer une pression sans précédent sur les industriels. Cependant, en raison de défis uniques dans ce secteur, notamment la production à grande vitesse, des formats d'emballage complexes et des paysages réglementaires fragmentés, le changement se heurte souvent à des résistances au niveau de l’établissement. Même lorsque les solutions promettent des économies importantes, les équipes hésitent car les nouveaux processus alourdissent la charge de travail et entraînent plus de perturbations et de complexité.</w:t>
      </w:r>
    </w:p>
    <w:p w14:paraId="653BB6BB" w14:textId="77777777" w:rsidR="00826C43" w:rsidRPr="00826C43" w:rsidRDefault="00826C43" w:rsidP="00826C43">
      <w:pPr>
        <w:spacing w:after="160" w:line="259" w:lineRule="auto"/>
        <w:jc w:val="both"/>
        <w:rPr>
          <w:rFonts w:ascii="Noto Sans" w:eastAsiaTheme="minorHAnsi" w:hAnsi="Noto Sans" w:cs="Noto Sans"/>
          <w:i/>
          <w:iCs/>
          <w:sz w:val="22"/>
          <w:lang w:val="fr"/>
        </w:rPr>
      </w:pPr>
      <w:r w:rsidRPr="00826C43">
        <w:rPr>
          <w:rFonts w:ascii="Noto Sans" w:eastAsiaTheme="minorHAnsi" w:hAnsi="Noto Sans" w:cs="Noto Sans"/>
          <w:i/>
          <w:iCs/>
          <w:sz w:val="22"/>
          <w:lang w:val="fr"/>
        </w:rPr>
        <w:t>Pourtant, si les préoccupations concernant les bouleversements opérationnels sont compréhensibles, le marché évolue rapidement dans la réalité. Les codes 2D uniques et riches en données, optimisés par GS1, offrent des avantages tangibles, notamment une traçabilité améliorée ainsi que la variabilité des données de nouvelle génération et l'engagement client. Les solutions existantes doivent fournir des résultats avec un minimum de perturbations, permettant aux producteurs de boissons de soutenir les objectifs de développement durable, de rationaliser la conformité aux modifications réglementaires mondiales et d'améliorer l'efficacité opérationnelle.</w:t>
      </w:r>
    </w:p>
    <w:p w14:paraId="3EDE0C62" w14:textId="48A470BB" w:rsidR="00826C43" w:rsidRPr="00826C43" w:rsidRDefault="00826C43" w:rsidP="00826C43">
      <w:pPr>
        <w:spacing w:after="160" w:line="259" w:lineRule="auto"/>
        <w:jc w:val="both"/>
        <w:rPr>
          <w:rFonts w:ascii="Noto Sans" w:eastAsiaTheme="minorHAnsi" w:hAnsi="Noto Sans" w:cs="Noto Sans"/>
          <w:i/>
          <w:iCs/>
          <w:sz w:val="22"/>
          <w:lang w:val="fr"/>
        </w:rPr>
      </w:pPr>
      <w:r w:rsidRPr="00826C43">
        <w:rPr>
          <w:rFonts w:ascii="Noto Sans" w:eastAsiaTheme="minorHAnsi" w:hAnsi="Noto Sans" w:cs="Noto Sans"/>
          <w:i/>
          <w:iCs/>
          <w:sz w:val="22"/>
          <w:lang w:val="fr"/>
        </w:rPr>
        <w:t xml:space="preserve">Alors que GS1 s'apprête à supprimer les codes 1D dans quelques années, Russell Wiseman, Head of Global Beverage Solutions, </w:t>
      </w:r>
      <w:hyperlink r:id="rId6" w:history="1">
        <w:r w:rsidRPr="00826C43">
          <w:rPr>
            <w:rStyle w:val="Hyperlink"/>
            <w:rFonts w:ascii="Noto Sans" w:eastAsiaTheme="minorHAnsi" w:hAnsi="Noto Sans" w:cs="Noto Sans"/>
            <w:i/>
            <w:iCs/>
            <w:sz w:val="22"/>
            <w:lang w:val="fr"/>
          </w:rPr>
          <w:t>Domino Printing Sciences</w:t>
        </w:r>
      </w:hyperlink>
      <w:r w:rsidRPr="00826C43">
        <w:rPr>
          <w:rFonts w:ascii="Noto Sans" w:eastAsiaTheme="minorHAnsi" w:hAnsi="Noto Sans" w:cs="Noto Sans"/>
          <w:i/>
          <w:iCs/>
          <w:sz w:val="22"/>
          <w:lang w:val="fr"/>
        </w:rPr>
        <w:t>, souligne l’urgence d’anticiper cette évolution et de lancer la transition vers une production de boissons plus intelligente et durable, afin de réduire les déchets et les coûts, tout en garantissant la pérennité de la marque.</w:t>
      </w:r>
    </w:p>
    <w:p w14:paraId="678DED62" w14:textId="77777777" w:rsidR="00826C43" w:rsidRPr="00826C43" w:rsidRDefault="00826C43" w:rsidP="00826C43">
      <w:pPr>
        <w:spacing w:after="160" w:line="259" w:lineRule="auto"/>
        <w:rPr>
          <w:rFonts w:ascii="Noto Sans" w:eastAsiaTheme="minorHAnsi" w:hAnsi="Noto Sans" w:cs="Noto Sans"/>
          <w:b/>
          <w:bCs/>
          <w:sz w:val="22"/>
          <w:lang w:val="es-ES"/>
        </w:rPr>
      </w:pPr>
      <w:r w:rsidRPr="00826C43">
        <w:rPr>
          <w:rFonts w:ascii="Noto Sans" w:eastAsiaTheme="minorHAnsi" w:hAnsi="Noto Sans" w:cs="Noto Sans"/>
          <w:b/>
          <w:bCs/>
          <w:sz w:val="22"/>
          <w:lang w:val="fr"/>
        </w:rPr>
        <w:t>Défis en matière de développement durable auxquels est confrontée la production de boissons à grande vitesse</w:t>
      </w:r>
    </w:p>
    <w:p w14:paraId="4AD8A404" w14:textId="77777777" w:rsidR="00826C43" w:rsidRPr="00826C43" w:rsidRDefault="00826C43" w:rsidP="00826C43">
      <w:pPr>
        <w:spacing w:after="160" w:line="259" w:lineRule="auto"/>
        <w:jc w:val="both"/>
        <w:rPr>
          <w:rFonts w:ascii="Noto Sans" w:eastAsiaTheme="minorHAnsi" w:hAnsi="Noto Sans" w:cs="Noto Sans"/>
          <w:sz w:val="22"/>
          <w:lang w:val="fr"/>
        </w:rPr>
      </w:pPr>
      <w:r w:rsidRPr="00826C43">
        <w:rPr>
          <w:rFonts w:ascii="Noto Sans" w:eastAsiaTheme="minorHAnsi" w:hAnsi="Noto Sans" w:cs="Noto Sans"/>
          <w:sz w:val="22"/>
          <w:lang w:val="fr"/>
        </w:rPr>
        <w:t>Les fabricants producteurs de boissons sont soumis à une pression croissante pour atteindre des objectifs de développement durable ambitieux. Entre 2030 et 2050, de nombreuses modifications réglementaires doivent entrer en vigueur, notamment le DPP de l'UE (</w:t>
      </w:r>
      <w:hyperlink r:id="rId7" w:history="1">
        <w:r w:rsidRPr="00826C43">
          <w:rPr>
            <w:rFonts w:ascii="Noto Sans" w:eastAsiaTheme="minorHAnsi" w:hAnsi="Noto Sans" w:cs="Noto Sans"/>
            <w:color w:val="0000FF"/>
            <w:sz w:val="22"/>
            <w:u w:val="single"/>
            <w:lang w:val="fr"/>
          </w:rPr>
          <w:t>Passeport de produit numérique</w:t>
        </w:r>
      </w:hyperlink>
      <w:r w:rsidRPr="00826C43">
        <w:rPr>
          <w:rFonts w:ascii="Noto Sans" w:eastAsiaTheme="minorHAnsi" w:hAnsi="Noto Sans" w:cs="Noto Sans"/>
          <w:sz w:val="22"/>
          <w:lang w:val="fr"/>
        </w:rPr>
        <w:t>) et CSRD (</w:t>
      </w:r>
      <w:hyperlink r:id="rId8" w:history="1">
        <w:r w:rsidRPr="00826C43">
          <w:rPr>
            <w:rFonts w:ascii="Noto Sans" w:eastAsiaTheme="minorHAnsi" w:hAnsi="Noto Sans" w:cs="Noto Sans"/>
            <w:color w:val="0000FF"/>
            <w:sz w:val="22"/>
            <w:u w:val="single"/>
            <w:lang w:val="fr"/>
          </w:rPr>
          <w:t>Directive sur les rapports de durabilité d'entreprise</w:t>
        </w:r>
      </w:hyperlink>
      <w:r w:rsidRPr="00826C43">
        <w:rPr>
          <w:rFonts w:ascii="Noto Sans" w:eastAsiaTheme="minorHAnsi" w:hAnsi="Noto Sans" w:cs="Noto Sans"/>
          <w:sz w:val="22"/>
          <w:lang w:val="fr"/>
        </w:rPr>
        <w:t>) pour la réduction des déchets, la circularité et la transparence, PPWR (</w:t>
      </w:r>
      <w:hyperlink r:id="rId9" w:history="1">
        <w:r w:rsidRPr="00826C43">
          <w:rPr>
            <w:rFonts w:ascii="Noto Sans" w:eastAsiaTheme="minorHAnsi" w:hAnsi="Noto Sans" w:cs="Noto Sans"/>
            <w:color w:val="0000FF"/>
            <w:sz w:val="22"/>
            <w:u w:val="single"/>
            <w:lang w:val="fr"/>
          </w:rPr>
          <w:t>Règlement sur les emballages et les déchets d'emballage</w:t>
        </w:r>
      </w:hyperlink>
      <w:r w:rsidRPr="00826C43">
        <w:rPr>
          <w:rFonts w:ascii="Noto Sans" w:eastAsiaTheme="minorHAnsi" w:hAnsi="Noto Sans" w:cs="Noto Sans"/>
          <w:sz w:val="22"/>
          <w:lang w:val="fr"/>
        </w:rPr>
        <w:t>) et le DRS national (</w:t>
      </w:r>
      <w:hyperlink r:id="rId10" w:history="1">
        <w:r w:rsidRPr="00826C43">
          <w:rPr>
            <w:rFonts w:ascii="Noto Sans" w:eastAsiaTheme="minorHAnsi" w:hAnsi="Noto Sans" w:cs="Noto Sans"/>
            <w:color w:val="0000FF"/>
            <w:sz w:val="22"/>
            <w:u w:val="single"/>
            <w:lang w:val="fr"/>
          </w:rPr>
          <w:t>Systèmes de consigne</w:t>
        </w:r>
      </w:hyperlink>
      <w:r w:rsidRPr="00826C43">
        <w:rPr>
          <w:rFonts w:ascii="Noto Sans" w:eastAsiaTheme="minorHAnsi" w:hAnsi="Noto Sans" w:cs="Noto Sans"/>
          <w:sz w:val="22"/>
          <w:lang w:val="fr"/>
        </w:rPr>
        <w:t xml:space="preserve">). Parallèlement à ce changement réglementaire pour les stratégies environnementales, sociales et de gouvernance (ESG), détaillants et </w:t>
      </w:r>
      <w:r w:rsidRPr="00826C43">
        <w:rPr>
          <w:rFonts w:ascii="Noto Sans" w:eastAsiaTheme="minorHAnsi" w:hAnsi="Noto Sans" w:cs="Noto Sans"/>
          <w:sz w:val="22"/>
          <w:lang w:val="fr"/>
        </w:rPr>
        <w:lastRenderedPageBreak/>
        <w:t>régulateurs exigent une plus grande transparence et traçabilité dans les chaînes d'approvisionnement, ce qui intensifie le besoin de données sur les produits précises et accessibles.</w:t>
      </w:r>
    </w:p>
    <w:p w14:paraId="7418F801" w14:textId="77777777" w:rsidR="00826C43" w:rsidRPr="00826C43" w:rsidRDefault="00826C43" w:rsidP="00826C43">
      <w:pPr>
        <w:spacing w:after="160" w:line="259" w:lineRule="auto"/>
        <w:jc w:val="both"/>
        <w:rPr>
          <w:rFonts w:ascii="Noto Sans" w:eastAsiaTheme="minorHAnsi" w:hAnsi="Noto Sans" w:cs="Noto Sans"/>
          <w:sz w:val="22"/>
          <w:lang w:val="fr"/>
        </w:rPr>
      </w:pPr>
      <w:r w:rsidRPr="00826C43">
        <w:rPr>
          <w:rFonts w:ascii="Noto Sans" w:eastAsiaTheme="minorHAnsi" w:hAnsi="Noto Sans" w:cs="Noto Sans"/>
          <w:sz w:val="22"/>
          <w:lang w:val="fr"/>
        </w:rPr>
        <w:t xml:space="preserve">Pourtant, les ambitions stratégiques en matière de développement durable se heurtent souvent à la réalité opérationnelle. Les lignes de production à grande vitesse, dont le débit peut atteindre jusqu'à 120 000 canettes par heure, n’admettent aucune erreur ni aucun processus supplémentaire. À cette échelle, le moindre problème peut rapidement entraîner des coûts importants. Le mauvais étiquetage et les produits non autorisés peuvent provoquer des rappels, des mises en quarantaines et des budgets d'urgence coûteux qui se chiffrent en millions. </w:t>
      </w:r>
    </w:p>
    <w:p w14:paraId="7CEF344C" w14:textId="77777777" w:rsidR="00826C43" w:rsidRPr="00826C43" w:rsidRDefault="00826C43" w:rsidP="00826C43">
      <w:pPr>
        <w:spacing w:after="160" w:line="259" w:lineRule="auto"/>
        <w:jc w:val="both"/>
        <w:rPr>
          <w:rFonts w:ascii="Noto Sans" w:eastAsiaTheme="minorHAnsi" w:hAnsi="Noto Sans" w:cs="Noto Sans"/>
          <w:sz w:val="22"/>
          <w:lang w:val="es-ES"/>
        </w:rPr>
      </w:pPr>
      <w:r w:rsidRPr="00826C43">
        <w:rPr>
          <w:rFonts w:ascii="Noto Sans" w:eastAsiaTheme="minorHAnsi" w:hAnsi="Noto Sans" w:cs="Noto Sans"/>
          <w:sz w:val="22"/>
          <w:lang w:val="fr"/>
        </w:rPr>
        <w:t>Par conséquent, il n'est pas surprenant que les équipes de production restent prudentes quant aux ajustements, même minimes, apportés à des processus éprouvés et efficaces. Le défi consiste à déterminer la meilleure façon d'assurer la transition vers un modèle plus durable, traçable et transparent tout en garantissant la précision et l'efficacité requises par la production de boissons à grande vitesse.</w:t>
      </w:r>
    </w:p>
    <w:p w14:paraId="7FB64436" w14:textId="77777777" w:rsidR="00826C43" w:rsidRPr="00826C43" w:rsidRDefault="00826C43" w:rsidP="00826C43">
      <w:pPr>
        <w:spacing w:after="160" w:line="259" w:lineRule="auto"/>
        <w:rPr>
          <w:rFonts w:ascii="Noto Sans" w:eastAsiaTheme="minorHAnsi" w:hAnsi="Noto Sans" w:cs="Noto Sans"/>
          <w:b/>
          <w:bCs/>
          <w:sz w:val="22"/>
          <w:lang w:val="es-ES"/>
        </w:rPr>
      </w:pPr>
      <w:r w:rsidRPr="00826C43">
        <w:rPr>
          <w:rFonts w:ascii="Noto Sans" w:eastAsiaTheme="minorHAnsi" w:hAnsi="Noto Sans" w:cs="Noto Sans"/>
          <w:b/>
          <w:bCs/>
          <w:sz w:val="22"/>
          <w:lang w:val="fr"/>
        </w:rPr>
        <w:t xml:space="preserve">Codes 2D GS1 : moins de déchets et d’erreurs, meilleure traçabilité </w:t>
      </w:r>
    </w:p>
    <w:p w14:paraId="0E63CE85" w14:textId="77777777" w:rsidR="00826C43" w:rsidRPr="00826C43" w:rsidRDefault="00826C43" w:rsidP="00826C43">
      <w:pPr>
        <w:spacing w:after="160" w:line="259" w:lineRule="auto"/>
        <w:jc w:val="both"/>
        <w:rPr>
          <w:rFonts w:ascii="Noto Sans" w:eastAsiaTheme="minorHAnsi" w:hAnsi="Noto Sans" w:cs="Noto Sans"/>
          <w:sz w:val="22"/>
          <w:lang w:val="fr"/>
        </w:rPr>
      </w:pPr>
      <w:r w:rsidRPr="00826C43">
        <w:rPr>
          <w:rFonts w:ascii="Noto Sans" w:eastAsiaTheme="minorHAnsi" w:hAnsi="Noto Sans" w:cs="Noto Sans"/>
          <w:sz w:val="22"/>
          <w:lang w:val="fr"/>
        </w:rPr>
        <w:t>Les codes 2D augmentés GS1 révolutionnent la production de boissons. Associés à un système de vision à grande vitesse, les codes GS1 offrent une meilleure traçabilité de la fabrication, ce qui permet d'éliminer plus rapidement les défauts, de réduire le coût lié aux erreurs et d'empêcher les produits non autorisés d'atteindre les consommateurs. Cela permettra non seulement de préserver la réputation de la marque, mais aussi de réduire les coûts liés aux reprises et aux rappels, tout en soutenant les objectifs de développement durable grâce à la réduction des déchets. La traçabilité complète de bout en bout tout au long de la durée de vie d'un produit prend également en charge les exigences mondiales (DRS), permettant aux producteurs de boissons de répondre rapidement à différents programmes sans encourir de coûts supplémentaires. Par ailleurs, alors que la plupart des pays acceptent désormais les informations d'identification du recyclage en ligne, la possibilité de supprimer ces informations du pack et de les stocker dans le cloud peut rationaliser la conformité aux exigences locales en matière d'identification du recyclage.</w:t>
      </w:r>
    </w:p>
    <w:p w14:paraId="25F68462" w14:textId="77777777" w:rsidR="00826C43" w:rsidRPr="00826C43" w:rsidRDefault="00826C43" w:rsidP="00826C43">
      <w:pPr>
        <w:spacing w:after="160" w:line="259" w:lineRule="auto"/>
        <w:jc w:val="both"/>
        <w:rPr>
          <w:rFonts w:ascii="Noto Sans" w:eastAsiaTheme="minorHAnsi" w:hAnsi="Noto Sans" w:cs="Noto Sans"/>
          <w:b/>
          <w:bCs/>
          <w:sz w:val="22"/>
          <w:lang w:val="es-ES"/>
        </w:rPr>
      </w:pPr>
      <w:r w:rsidRPr="00826C43">
        <w:rPr>
          <w:rFonts w:ascii="Noto Sans" w:eastAsiaTheme="minorHAnsi" w:hAnsi="Noto Sans" w:cs="Noto Sans"/>
          <w:b/>
          <w:bCs/>
          <w:sz w:val="22"/>
          <w:lang w:val="fr"/>
        </w:rPr>
        <w:t>Renforcer la flexibilité et la conformité multi-marchés</w:t>
      </w:r>
    </w:p>
    <w:p w14:paraId="7D4162B0" w14:textId="77777777" w:rsidR="00826C43" w:rsidRPr="00826C43" w:rsidRDefault="00826C43" w:rsidP="00826C43">
      <w:pPr>
        <w:spacing w:after="160" w:line="259" w:lineRule="auto"/>
        <w:jc w:val="both"/>
        <w:rPr>
          <w:rFonts w:ascii="Noto Sans" w:eastAsiaTheme="minorHAnsi" w:hAnsi="Noto Sans" w:cs="Noto Sans"/>
          <w:sz w:val="22"/>
          <w:lang w:val="fr"/>
        </w:rPr>
      </w:pPr>
      <w:r w:rsidRPr="00826C43">
        <w:rPr>
          <w:rFonts w:ascii="Noto Sans" w:eastAsiaTheme="minorHAnsi" w:hAnsi="Noto Sans" w:cs="Noto Sans"/>
          <w:sz w:val="22"/>
          <w:lang w:val="fr"/>
        </w:rPr>
        <w:t xml:space="preserve">Au-delà de la traçabilité, les codes 2D introduisent une agilité bien plus grande dans la gestion de la conformité multi-marchés. Les codes dynamiques liés aux données permettent aux organisations de partager des informations détaillées sur les ingrédients ou la réglementation par voie numérique plutôt que sur le paquet. Cela </w:t>
      </w:r>
      <w:r w:rsidRPr="00826C43">
        <w:rPr>
          <w:rFonts w:ascii="Noto Sans" w:eastAsiaTheme="minorHAnsi" w:hAnsi="Noto Sans" w:cs="Noto Sans"/>
          <w:sz w:val="22"/>
          <w:lang w:val="fr"/>
        </w:rPr>
        <w:lastRenderedPageBreak/>
        <w:t>soulage les pressions d’espace sur les emballages, réduit le besoin d'illustrations spécifiques au marché et contribue à rationaliser les SKU, favorisant des opérations de production et d'emballage plus durables. L'adoption de solutions intégrées, y compris les systèmes de codage de canettes vides (BECCS), offre d'autres avantages. En associant le codage, la vision et la gestion des données dans une solution unifiée, les producteurs de boissons peuvent encore améliorer la durabilité en empêchant le remplissage de canettes défectueuses ou incorrectes et en évitant le gaspillage de produits. Une qualité codage améliorée renforcer le rendement et l'efficacité de la ligne, et les fabricants de boissons peuvent améliorer considérablement leurs performances tout en répondant aux objectifs ESG stratégiques.</w:t>
      </w:r>
    </w:p>
    <w:p w14:paraId="5073F7E4" w14:textId="77777777" w:rsidR="00826C43" w:rsidRPr="00826C43" w:rsidRDefault="00826C43" w:rsidP="00826C43">
      <w:pPr>
        <w:shd w:val="clear" w:color="auto" w:fill="FFFFFF"/>
        <w:spacing w:before="100" w:beforeAutospacing="1" w:after="315" w:line="240" w:lineRule="auto"/>
        <w:rPr>
          <w:rFonts w:ascii="Noto Sans" w:eastAsia="Times New Roman" w:hAnsi="Noto Sans" w:cs="Noto Sans"/>
          <w:b/>
          <w:bCs/>
          <w:sz w:val="22"/>
          <w:lang w:val="fr" w:eastAsia="en-GB"/>
        </w:rPr>
      </w:pPr>
      <w:r w:rsidRPr="00826C43">
        <w:rPr>
          <w:rFonts w:ascii="Noto Sans" w:eastAsia="Times New Roman" w:hAnsi="Noto Sans" w:cs="Noto Sans"/>
          <w:b/>
          <w:bCs/>
          <w:sz w:val="22"/>
          <w:lang w:val="fr" w:eastAsia="en-GB"/>
        </w:rPr>
        <w:t>Stimuler l'engagement client, la protection de la marque et l'accès à l'information</w:t>
      </w:r>
    </w:p>
    <w:p w14:paraId="0BF9CCB5" w14:textId="77777777" w:rsidR="00826C43" w:rsidRPr="00826C43" w:rsidRDefault="00826C43" w:rsidP="00826C43">
      <w:pPr>
        <w:shd w:val="clear" w:color="auto" w:fill="FFFFFF"/>
        <w:spacing w:before="100" w:beforeAutospacing="1" w:after="315" w:line="240" w:lineRule="auto"/>
        <w:jc w:val="both"/>
        <w:rPr>
          <w:rFonts w:ascii="Noto Sans" w:eastAsia="Times New Roman" w:hAnsi="Noto Sans" w:cs="Noto Sans"/>
          <w:sz w:val="22"/>
          <w:lang w:val="es-ES" w:eastAsia="en-GB"/>
        </w:rPr>
      </w:pPr>
      <w:r w:rsidRPr="00826C43">
        <w:rPr>
          <w:rFonts w:ascii="Noto Sans" w:eastAsia="Times New Roman" w:hAnsi="Noto Sans" w:cs="Noto Sans"/>
          <w:sz w:val="22"/>
          <w:lang w:val="fr" w:eastAsia="en-GB"/>
        </w:rPr>
        <w:t xml:space="preserve">Les codes 2D présentent également de puissantes opportunités pour l'engagement client et les insights basés sur des données. Les QR codes dynamiques inspirent des activités promotionnelles innovantes à mesure que les entreprises exploitent de nouvelles opportunités en matière de programmes de fidélité, de gamification et de contenu personnalisé. Ce nouveau niveau d'engagement crée des liens plus étroits avec les consommateurs et fournit aux entreprises de nouvelles données sur les modes de consommation, les tendances géographiques et le cycle de vie des produits. À chaque scan, les entreprises acquièrent de nouvelles connaissances sur les habitudes de consommation et les comportements des consommateurs, leur permettant d’éclairer et d’optimiser la prise de décision. </w:t>
      </w:r>
    </w:p>
    <w:p w14:paraId="092EFE4B" w14:textId="77777777" w:rsidR="00826C43" w:rsidRPr="00826C43" w:rsidRDefault="00826C43" w:rsidP="00826C43">
      <w:pPr>
        <w:shd w:val="clear" w:color="auto" w:fill="FFFFFF"/>
        <w:spacing w:before="100" w:beforeAutospacing="1" w:after="315" w:line="240" w:lineRule="auto"/>
        <w:jc w:val="both"/>
        <w:rPr>
          <w:rFonts w:ascii="Noto Sans" w:eastAsia="Times New Roman" w:hAnsi="Noto Sans" w:cs="Noto Sans"/>
          <w:sz w:val="22"/>
          <w:lang w:val="fr" w:eastAsia="en-GB"/>
        </w:rPr>
      </w:pPr>
      <w:r w:rsidRPr="00826C43">
        <w:rPr>
          <w:rFonts w:ascii="Noto Sans" w:eastAsia="Times New Roman" w:hAnsi="Noto Sans" w:cs="Noto Sans"/>
          <w:sz w:val="22"/>
          <w:lang w:val="fr" w:eastAsia="en-GB"/>
        </w:rPr>
        <w:t>Surtout, l'adoption de nouveaux processus activés par des codes 2D permet d’accroître l’engagement à un coût inférieur à celui des modèles actuels. Les promotions peuvent être transférées dans le cloud, ce qui permet à l'entreprise d'améliorer l'engagement client sans recourir à des actions coûteuses et non standardisées. Les promotions réussies peuvent être étendues à distance, ne nécessitant aucun changement sur la ligne de production, tandis que les activités moins réussies peuvent être rapidement supprimées, minimisant tout impact sur l'entreprise.</w:t>
      </w:r>
    </w:p>
    <w:p w14:paraId="6ADE421C" w14:textId="77777777" w:rsidR="00826C43" w:rsidRPr="00826C43" w:rsidRDefault="00826C43" w:rsidP="00826C43">
      <w:pPr>
        <w:shd w:val="clear" w:color="auto" w:fill="FFFFFF"/>
        <w:spacing w:before="100" w:beforeAutospacing="1" w:after="315" w:line="240" w:lineRule="auto"/>
        <w:jc w:val="both"/>
        <w:rPr>
          <w:rFonts w:ascii="Noto Sans" w:eastAsia="Times New Roman" w:hAnsi="Noto Sans" w:cs="Noto Sans"/>
          <w:sz w:val="22"/>
          <w:lang w:val="fr" w:eastAsia="en-GB"/>
        </w:rPr>
      </w:pPr>
      <w:r w:rsidRPr="00826C43">
        <w:rPr>
          <w:rFonts w:ascii="Noto Sans" w:eastAsia="Times New Roman" w:hAnsi="Noto Sans" w:cs="Noto Sans"/>
          <w:sz w:val="22"/>
          <w:lang w:val="fr" w:eastAsia="en-GB"/>
        </w:rPr>
        <w:t xml:space="preserve">Les avantages ne s’arrêtent pas là. Selon un rapport de l'OCDE et de l'Office de la propriété intellectuelle de l'UE, la sérialisation renforce la protection des marques contre la contrefaçon, un problème aujourd'hui estimé à environ 1,2 milliard de livres sterling dans le monde rien que pour les boissons alcoolisées. De plus, les codes 2D dynamiques peuvent soutenir les objectifs d'inclusivité des entreprises. Les clients malvoyants peuvent utiliser des technologies innovantes telles que </w:t>
      </w:r>
      <w:proofErr w:type="spellStart"/>
      <w:r w:rsidRPr="00826C43">
        <w:rPr>
          <w:rFonts w:ascii="Noto Sans" w:eastAsia="Times New Roman" w:hAnsi="Noto Sans" w:cs="Noto Sans"/>
          <w:sz w:val="22"/>
          <w:lang w:val="fr" w:eastAsia="en-GB"/>
        </w:rPr>
        <w:t>NaviLens</w:t>
      </w:r>
      <w:proofErr w:type="spellEnd"/>
      <w:r w:rsidRPr="00826C43">
        <w:rPr>
          <w:rFonts w:ascii="Noto Sans" w:eastAsia="Times New Roman" w:hAnsi="Noto Sans" w:cs="Noto Sans"/>
          <w:sz w:val="22"/>
          <w:lang w:val="fr" w:eastAsia="en-GB"/>
        </w:rPr>
        <w:t xml:space="preserve">, qui utilise un téléphone mobile pour scanner les allées des supermarchés à la recherche de produits spécifiques, notamment en fonction de leur taille et de leur saveur. Une approche </w:t>
      </w:r>
      <w:r w:rsidRPr="00826C43">
        <w:rPr>
          <w:rFonts w:ascii="Noto Sans" w:eastAsia="Times New Roman" w:hAnsi="Noto Sans" w:cs="Noto Sans"/>
          <w:sz w:val="22"/>
          <w:lang w:val="fr" w:eastAsia="en-GB"/>
        </w:rPr>
        <w:lastRenderedPageBreak/>
        <w:t xml:space="preserve">similaire peut être utilisée pour signaler les informations relatives aux allergènes, afin d'aider les clients à éviter instantanément tout produit qu'ils ne peuvent pas tolérer en toute sécurité. Là encore, toute modification ou mise à jour de ces informations peut être apportée aux informations basées sur </w:t>
      </w:r>
      <w:proofErr w:type="gramStart"/>
      <w:r w:rsidRPr="00826C43">
        <w:rPr>
          <w:rFonts w:ascii="Noto Sans" w:eastAsia="Times New Roman" w:hAnsi="Noto Sans" w:cs="Noto Sans"/>
          <w:sz w:val="22"/>
          <w:lang w:val="fr" w:eastAsia="en-GB"/>
        </w:rPr>
        <w:t>le cloud liées</w:t>
      </w:r>
      <w:proofErr w:type="gramEnd"/>
      <w:r w:rsidRPr="00826C43">
        <w:rPr>
          <w:rFonts w:ascii="Noto Sans" w:eastAsia="Times New Roman" w:hAnsi="Noto Sans" w:cs="Noto Sans"/>
          <w:sz w:val="22"/>
          <w:lang w:val="fr" w:eastAsia="en-GB"/>
        </w:rPr>
        <w:t xml:space="preserve"> au code 2D, ce qui évite de recourir à des rappels de produits.</w:t>
      </w:r>
    </w:p>
    <w:p w14:paraId="6B9B1538" w14:textId="77777777" w:rsidR="00826C43" w:rsidRPr="00826C43" w:rsidRDefault="00826C43" w:rsidP="00826C43">
      <w:pPr>
        <w:spacing w:after="160" w:line="259" w:lineRule="auto"/>
        <w:rPr>
          <w:rFonts w:ascii="Noto Sans" w:eastAsiaTheme="minorHAnsi" w:hAnsi="Noto Sans" w:cs="Noto Sans"/>
          <w:b/>
          <w:bCs/>
          <w:sz w:val="22"/>
          <w:lang w:val="fr"/>
        </w:rPr>
      </w:pPr>
      <w:r w:rsidRPr="00826C43">
        <w:rPr>
          <w:rFonts w:ascii="Noto Sans" w:eastAsiaTheme="minorHAnsi" w:hAnsi="Noto Sans" w:cs="Noto Sans"/>
          <w:b/>
          <w:bCs/>
          <w:sz w:val="22"/>
          <w:lang w:val="fr"/>
        </w:rPr>
        <w:t>Conclusion</w:t>
      </w:r>
    </w:p>
    <w:p w14:paraId="3789F8A9" w14:textId="77777777" w:rsidR="00826C43" w:rsidRPr="00826C43" w:rsidRDefault="00826C43" w:rsidP="00826C43">
      <w:pPr>
        <w:spacing w:after="160" w:line="259" w:lineRule="auto"/>
        <w:jc w:val="both"/>
        <w:rPr>
          <w:rFonts w:ascii="Noto Sans" w:eastAsiaTheme="minorHAnsi" w:hAnsi="Noto Sans" w:cs="Noto Sans"/>
          <w:sz w:val="22"/>
          <w:lang w:val="es-ES"/>
        </w:rPr>
      </w:pPr>
      <w:r w:rsidRPr="00826C43">
        <w:rPr>
          <w:rFonts w:ascii="Noto Sans" w:eastAsiaTheme="minorHAnsi" w:hAnsi="Noto Sans" w:cs="Noto Sans"/>
          <w:sz w:val="22"/>
          <w:lang w:val="fr"/>
        </w:rPr>
        <w:t xml:space="preserve">Les codes 2D constituent la base d'une chaîne d'approvisionnement des boissons plus efficace, durable et numérique. Cependant, le </w:t>
      </w:r>
      <w:proofErr w:type="gramStart"/>
      <w:r w:rsidRPr="00826C43">
        <w:rPr>
          <w:rFonts w:ascii="Noto Sans" w:eastAsiaTheme="minorHAnsi" w:hAnsi="Noto Sans" w:cs="Noto Sans"/>
          <w:sz w:val="22"/>
          <w:lang w:val="fr"/>
        </w:rPr>
        <w:t>timing</w:t>
      </w:r>
      <w:proofErr w:type="gramEnd"/>
      <w:r w:rsidRPr="00826C43">
        <w:rPr>
          <w:rFonts w:ascii="Noto Sans" w:eastAsiaTheme="minorHAnsi" w:hAnsi="Noto Sans" w:cs="Noto Sans"/>
          <w:sz w:val="22"/>
          <w:lang w:val="fr"/>
        </w:rPr>
        <w:t xml:space="preserve"> est essentiel. Alors que GS1 vise la suppression des codes-barres 1D d’ici 2027/2028, les fabricants doivent amorcer une stratégie de transition dès maintenant. Le non-respect des délais de conformité et le recours à des modifications de dernière minute sont non seulement coûteux, mais ils comportent également d'énormes risques opérationnels. Il existe des coûts d'opportunité importants lorsque des marques innovantes interviennent et gagnent des parts de marché, en particulier lorsque les détaillants investissent déjà dans </w:t>
      </w:r>
      <w:proofErr w:type="gramStart"/>
      <w:r w:rsidRPr="00826C43">
        <w:rPr>
          <w:rFonts w:ascii="Noto Sans" w:eastAsiaTheme="minorHAnsi" w:hAnsi="Noto Sans" w:cs="Noto Sans"/>
          <w:sz w:val="22"/>
          <w:lang w:val="fr"/>
        </w:rPr>
        <w:t>la technologie compatibles</w:t>
      </w:r>
      <w:proofErr w:type="gramEnd"/>
      <w:r w:rsidRPr="00826C43">
        <w:rPr>
          <w:rFonts w:ascii="Noto Sans" w:eastAsiaTheme="minorHAnsi" w:hAnsi="Noto Sans" w:cs="Noto Sans"/>
          <w:sz w:val="22"/>
          <w:lang w:val="fr"/>
        </w:rPr>
        <w:t xml:space="preserve"> avec les codes 2D. Dans le même temps, les entreprises sont confrontées à des contraintes et à des coûts croissants en raison de systèmes qui ne peuvent pas répondre aux exigences futures. Combien de temps l'entreprise peut-elle se permettre de reporter ? Quel est l'impact potentiel sur la réputation de la marque lorsque le marché atteint un niveau supérieur en matière d'engagement client ?</w:t>
      </w:r>
    </w:p>
    <w:p w14:paraId="431533DA" w14:textId="77777777" w:rsidR="00826C43" w:rsidRPr="00826C43" w:rsidRDefault="00826C43" w:rsidP="00826C43">
      <w:pPr>
        <w:spacing w:after="160" w:line="259" w:lineRule="auto"/>
        <w:jc w:val="both"/>
        <w:rPr>
          <w:rFonts w:ascii="Noto Sans" w:eastAsiaTheme="minorHAnsi" w:hAnsi="Noto Sans" w:cs="Noto Sans"/>
          <w:sz w:val="22"/>
          <w:lang w:val="es-ES"/>
        </w:rPr>
      </w:pPr>
      <w:r w:rsidRPr="00826C43">
        <w:rPr>
          <w:rFonts w:ascii="Noto Sans" w:eastAsiaTheme="minorHAnsi" w:hAnsi="Noto Sans" w:cs="Noto Sans"/>
          <w:sz w:val="22"/>
          <w:lang w:val="fr"/>
        </w:rPr>
        <w:t>Pour réussir, toute transition doit reposer sur une planification claire et une compréhension approfondie des opportunités stratégiques et des implications opérationnelles. Si chaque producteur de boissons hiérarchise ces facteurs de manière différente, les opportunités commerciales et environnementales d'une adoption précoce sont tangibles. Les entreprises bénéficient d'une position de leader sur le marché. Elles posent les bases d'un modèle opérationnel plus durable qui tire parti des capacités numériques pour prendre les devants dans sur un marché de plus en plus concurrentiel et en évolution rapide.</w:t>
      </w:r>
    </w:p>
    <w:p w14:paraId="1F72FE7A" w14:textId="1618BEDC" w:rsidR="00826C43" w:rsidRDefault="00826C43" w:rsidP="00826C43">
      <w:pPr>
        <w:spacing w:after="160" w:line="259" w:lineRule="auto"/>
        <w:rPr>
          <w:rFonts w:ascii="Noto Sans" w:eastAsiaTheme="minorHAnsi" w:hAnsi="Noto Sans" w:cs="Noto Sans"/>
          <w:sz w:val="22"/>
          <w:lang w:val="fr"/>
        </w:rPr>
      </w:pPr>
      <w:r>
        <w:rPr>
          <w:rFonts w:ascii="Noto Sans" w:eastAsiaTheme="minorHAnsi" w:hAnsi="Noto Sans" w:cs="Noto Sans"/>
          <w:sz w:val="22"/>
          <w:lang w:val="fr"/>
        </w:rPr>
        <w:t>&lt;</w:t>
      </w:r>
      <w:r w:rsidRPr="00826C43">
        <w:rPr>
          <w:rFonts w:ascii="Noto Sans" w:eastAsiaTheme="minorHAnsi" w:hAnsi="Noto Sans" w:cs="Noto Sans"/>
          <w:b/>
          <w:bCs/>
          <w:sz w:val="22"/>
          <w:lang w:val="fr"/>
        </w:rPr>
        <w:t>FIN</w:t>
      </w:r>
      <w:r w:rsidRPr="00826C43">
        <w:rPr>
          <w:rFonts w:ascii="Noto Sans" w:eastAsiaTheme="minorHAnsi" w:hAnsi="Noto Sans" w:cs="Noto Sans"/>
          <w:sz w:val="22"/>
          <w:lang w:val="fr"/>
        </w:rPr>
        <w:t>&gt;</w:t>
      </w:r>
    </w:p>
    <w:p w14:paraId="0C660133" w14:textId="77777777" w:rsidR="00826C43" w:rsidRDefault="00826C43" w:rsidP="00826C43">
      <w:pPr>
        <w:spacing w:after="160" w:line="259" w:lineRule="auto"/>
        <w:rPr>
          <w:rFonts w:ascii="Noto Sans" w:eastAsia="Gill Sans" w:hAnsi="Noto Sans" w:cs="Noto Sans"/>
          <w:b/>
          <w:bCs/>
          <w:sz w:val="20"/>
          <w:szCs w:val="20"/>
          <w:lang w:val="fr-FR"/>
        </w:rPr>
      </w:pPr>
      <w:bookmarkStart w:id="0" w:name="_Hlk46133219"/>
    </w:p>
    <w:p w14:paraId="230A593E" w14:textId="7AE7098B" w:rsidR="00826C43" w:rsidRPr="00826C43" w:rsidRDefault="00826C43" w:rsidP="00826C43">
      <w:pPr>
        <w:spacing w:after="160" w:line="259" w:lineRule="auto"/>
        <w:rPr>
          <w:rFonts w:ascii="Noto Sans" w:eastAsiaTheme="minorHAnsi" w:hAnsi="Noto Sans" w:cs="Noto Sans"/>
          <w:sz w:val="22"/>
          <w:lang w:val="fr-FR"/>
        </w:rPr>
      </w:pPr>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w:t>
      </w:r>
      <w:r w:rsidRPr="00E06028">
        <w:rPr>
          <w:rFonts w:ascii="Noto Sans" w:hAnsi="Noto Sans" w:cs="Noto Sans"/>
          <w:sz w:val="20"/>
          <w:szCs w:val="20"/>
          <w:lang w:val="fr-FR"/>
        </w:rPr>
        <w:lastRenderedPageBreak/>
        <w:t xml:space="preserve">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w:t>
      </w:r>
      <w:r w:rsidRPr="00E06028">
        <w:rPr>
          <w:rFonts w:ascii="Noto Sans" w:eastAsia="Gill Sans" w:hAnsi="Noto Sans" w:cs="Noto Sans"/>
          <w:sz w:val="20"/>
          <w:szCs w:val="20"/>
          <w:lang w:val="fr-FR"/>
        </w:rPr>
        <w:lastRenderedPageBreak/>
        <w:t xml:space="preserve">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11"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12" w:history="1">
        <w:r w:rsidRPr="00826C43">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3" w:history="1">
        <w:r w:rsidRPr="00E06028">
          <w:rPr>
            <w:rStyle w:val="Hyperlink"/>
            <w:rFonts w:ascii="Noto Sans" w:hAnsi="Noto Sans" w:cs="Noto Sans"/>
            <w:sz w:val="20"/>
            <w:szCs w:val="20"/>
            <w:lang w:val="fr-FR"/>
          </w:rPr>
          <w:t>delphine.baudesson@domino-marquage.com</w:t>
        </w:r>
      </w:hyperlink>
    </w:p>
    <w:p w14:paraId="53EB7C38" w14:textId="77777777" w:rsidR="005524DB" w:rsidRPr="00826C43" w:rsidRDefault="005524DB" w:rsidP="00C44603">
      <w:pPr>
        <w:rPr>
          <w:lang w:val="fr-FR"/>
        </w:rPr>
      </w:pPr>
    </w:p>
    <w:sectPr w:rsidR="005524DB" w:rsidRPr="00826C43"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37350"/>
    <w:rsid w:val="002766D9"/>
    <w:rsid w:val="002C3337"/>
    <w:rsid w:val="00372E92"/>
    <w:rsid w:val="005272B1"/>
    <w:rsid w:val="005524DB"/>
    <w:rsid w:val="005741C7"/>
    <w:rsid w:val="00647055"/>
    <w:rsid w:val="00660F46"/>
    <w:rsid w:val="00785717"/>
    <w:rsid w:val="00804969"/>
    <w:rsid w:val="008220B7"/>
    <w:rsid w:val="00823B77"/>
    <w:rsid w:val="00826C43"/>
    <w:rsid w:val="008916A8"/>
    <w:rsid w:val="008B6461"/>
    <w:rsid w:val="008F3E38"/>
    <w:rsid w:val="00931996"/>
    <w:rsid w:val="009A1716"/>
    <w:rsid w:val="009A1DEC"/>
    <w:rsid w:val="009D6280"/>
    <w:rsid w:val="009E564D"/>
    <w:rsid w:val="00A34918"/>
    <w:rsid w:val="00AB11DA"/>
    <w:rsid w:val="00B23C3C"/>
    <w:rsid w:val="00B546C5"/>
    <w:rsid w:val="00BC7C15"/>
    <w:rsid w:val="00C063FE"/>
    <w:rsid w:val="00C44603"/>
    <w:rsid w:val="00C541FE"/>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dir/2022/2464/oj/eng" TargetMode="External"/><Relationship Id="rId13" Type="http://schemas.openxmlformats.org/officeDocument/2006/relationships/hyperlink" Target="mailto:delphine.baudesson@domino-marquage.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ata.europa.eu/en/news-events/news/eus-digital-product-passport-advancing-transparency-and-sustainability" TargetMode="External"/><Relationship Id="rId12" Type="http://schemas.openxmlformats.org/officeDocument/2006/relationships/hyperlink" Target="mailto:Alex.Challinor@domino-uk.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fr-fr/home.aspx?utm_medium=non-paid&amp;utm_source=onlinepublication&amp;utm_content=global-cm-tlp-driving-sustainability-and-efficiency-in-beverage-manufacturing-fr&amp;utm_campaign=2026-int-fr-global-pr-cm-fy25-q3" TargetMode="External"/><Relationship Id="rId11" Type="http://schemas.openxmlformats.org/officeDocument/2006/relationships/hyperlink" Target="http://www.domino-printing.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gov.uk/guidance/deposit-return-scheme-drinks-producer-and-retailer-responsibilities"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eur-lex.europa.eu/eli/reg/2025/40/oj/en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6</TotalTime>
  <Pages>6</Pages>
  <Words>2255</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2026-01-15T10:16:00Z</dcterms:created>
  <dcterms:modified xsi:type="dcterms:W3CDTF">2026-01-15T10:20:00Z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7390736e-3505-4700-8afa-aa9f9d20ff22</vt:lpwstr>
  </property>
</Properties>
</file>