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Calibri" w:cs="Calibri" w:eastAsia="Calibri" w:hAnsi="Calibri"/>
          <w:b w:val="1"/>
          <w:bCs w:val="1"/>
          <w:sz w:val="30"/>
          <w:szCs w:val="30"/>
        </w:rPr>
      </w:pPr>
      <w:r w:rsidDel="00000000" w:rsidR="00000000" w:rsidRPr="00000000">
        <w:rPr>
          <w:rFonts w:ascii="Calibri" w:cs="Calibri" w:eastAsia="Calibri" w:hAnsi="Calibri"/>
          <w:b w:val="1"/>
          <w:bCs w:val="1"/>
          <w:sz w:val="30"/>
          <w:szCs w:val="30"/>
          <w:rtl w:val="0"/>
        </w:rPr>
        <w:t xml:space="preserve">La biometría, clave para una mayor inclusión financiera para más de 10 millones de peruanos gracias a las Finanzas Abiertas seguras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i w:val="1"/>
          <w:iCs w:val="1"/>
          <w:color w:val="2f2e2e"/>
        </w:rPr>
      </w:pPr>
      <w:r w:rsidDel="00000000" w:rsidR="00000000" w:rsidRPr="00000000">
        <w:rPr>
          <w:rFonts w:ascii="Calibri" w:cs="Calibri" w:eastAsia="Calibri" w:hAnsi="Calibri"/>
          <w:i w:val="1"/>
          <w:iCs w:val="1"/>
          <w:color w:val="2f2e2e"/>
          <w:rtl w:val="0"/>
        </w:rPr>
        <w:t xml:space="preserve">El 30% de los adultos peruanos no cuenta con ningún servicio financiero formal, ya sea una cuenta bancaria o una billetera digital y apenas alrededor del 33% de los adultos tiene algún tipo de acceso a crédito. </w:t>
      </w:r>
    </w:p>
    <w:p w:rsidR="00000000" w:rsidDel="00000000" w:rsidP="00000000" w:rsidRDefault="00000000" w:rsidRPr="00000000" w14:paraId="00000004">
      <w:pPr>
        <w:jc w:val="both"/>
        <w:rPr>
          <w:rFonts w:ascii="Calibri" w:cs="Calibri" w:eastAsia="Calibri" w:hAnsi="Calibri"/>
          <w:i w:val="1"/>
          <w:iCs w:val="1"/>
          <w:color w:val="2f2e2e"/>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i w:val="1"/>
          <w:iCs w:val="1"/>
          <w:color w:val="2f2e2e"/>
        </w:rPr>
      </w:pPr>
      <w:r w:rsidDel="00000000" w:rsidR="00000000" w:rsidRPr="00000000">
        <w:rPr>
          <w:rFonts w:ascii="Calibri" w:cs="Calibri" w:eastAsia="Calibri" w:hAnsi="Calibri"/>
          <w:i w:val="1"/>
          <w:iCs w:val="1"/>
          <w:color w:val="2f2e2e"/>
          <w:rtl w:val="0"/>
        </w:rPr>
        <w:t xml:space="preserve">Las Finanzas Abiertas resultarán clave para que los usuarios compartan sus datos financieros con diferentes instituciones de forma segura, estandarizada y con su consentimiento. El usuario es dueño de sus datos financieros y puede utilizarlos para acceder a mejores productos o condiciones.</w:t>
      </w:r>
    </w:p>
    <w:p w:rsidR="00000000" w:rsidDel="00000000" w:rsidP="00000000" w:rsidRDefault="00000000" w:rsidRPr="00000000" w14:paraId="00000006">
      <w:pPr>
        <w:spacing w:after="240" w:before="240" w:lineRule="auto"/>
        <w:jc w:val="both"/>
        <w:rPr>
          <w:rFonts w:ascii="Calibri" w:cs="Calibri" w:eastAsia="Calibri" w:hAnsi="Calibri"/>
          <w:i w:val="1"/>
          <w:iCs w:val="1"/>
          <w:color w:val="2f2e2e"/>
        </w:rPr>
      </w:pPr>
      <w:r w:rsidDel="00000000" w:rsidR="00000000" w:rsidRPr="00000000">
        <w:rPr>
          <w:rFonts w:ascii="Calibri" w:cs="Calibri" w:eastAsia="Calibri" w:hAnsi="Calibri"/>
          <w:i w:val="1"/>
          <w:iCs w:val="1"/>
          <w:color w:val="2f2e2e"/>
          <w:rtl w:val="0"/>
        </w:rPr>
        <w:t xml:space="preserve">La biometría se posiciona como elemento clave para garantizar que los datos financieros se compartan de forma segura y que el usuario mantenga el control. </w:t>
      </w:r>
      <w:r w:rsidDel="00000000" w:rsidR="00000000" w:rsidRPr="00000000">
        <w:rPr>
          <w:rFonts w:ascii="Calibri" w:cs="Calibri" w:eastAsia="Calibri" w:hAnsi="Calibri"/>
          <w:i w:val="1"/>
          <w:iCs w:val="1"/>
          <w:rtl w:val="0"/>
        </w:rPr>
        <w:t xml:space="preserve">Soluciones como las de Identy.io permiten que los usuarios verifiquen su identidad de manera inequívoca mediante la captura de sus huellas dactilares o mediante reconocimiento facial.</w:t>
      </w:r>
      <w:r w:rsidDel="00000000" w:rsidR="00000000" w:rsidRPr="00000000">
        <w:rPr>
          <w:rtl w:val="0"/>
        </w:rPr>
      </w:r>
    </w:p>
    <w:p w:rsidR="00000000" w:rsidDel="00000000" w:rsidP="00000000" w:rsidRDefault="00000000" w:rsidRPr="00000000" w14:paraId="00000007">
      <w:pPr>
        <w:jc w:val="both"/>
        <w:rPr>
          <w:rFonts w:ascii="Calibri" w:cs="Calibri" w:eastAsia="Calibri" w:hAnsi="Calibri"/>
          <w:color w:val="2f2e2e"/>
        </w:rPr>
      </w:pPr>
      <w:r w:rsidDel="00000000" w:rsidR="00000000" w:rsidRPr="00000000">
        <w:rPr>
          <w:rtl w:val="0"/>
        </w:rPr>
      </w:r>
    </w:p>
    <w:p w:rsidR="00000000" w:rsidDel="00000000" w:rsidP="00000000" w:rsidRDefault="00000000" w:rsidRPr="00000000" w14:paraId="00000008">
      <w:pPr>
        <w:jc w:val="both"/>
        <w:rPr>
          <w:rFonts w:ascii="Calibri" w:cs="Calibri" w:eastAsia="Calibri" w:hAnsi="Calibri"/>
          <w:color w:val="2f2e2e"/>
        </w:rPr>
      </w:pPr>
      <w:r w:rsidDel="00000000" w:rsidR="00000000" w:rsidRPr="00000000">
        <w:rPr>
          <w:rFonts w:ascii="Calibri" w:cs="Calibri" w:eastAsia="Calibri" w:hAnsi="Calibri"/>
          <w:color w:val="2f2e2e"/>
          <w:rtl w:val="0"/>
        </w:rPr>
        <w:t xml:space="preserve">La digitalización de la banca sigue avanzando en Perú, donde en 2025 cerca del 92% de los hogares ya disponía de acceso a internet móvil, y el uso de teléfonos inteligentes alcanzó el 95%, según la Encuesta Residencial de Servicios de Telecomunicaciones. Así, de acuerdo con cifras del Banco Central de Reserva del Perú (BCRP), los pagos digitales se han multiplicado por siete desde el año </w:t>
      </w:r>
      <w:r w:rsidDel="00000000" w:rsidR="00000000" w:rsidRPr="00000000">
        <w:rPr>
          <w:rFonts w:ascii="Calibri" w:cs="Calibri" w:eastAsia="Calibri" w:hAnsi="Calibri"/>
          <w:color w:val="2f2e2e"/>
          <w:rtl w:val="0"/>
        </w:rPr>
        <w:t xml:space="preserve">2021</w:t>
      </w:r>
      <w:r w:rsidDel="00000000" w:rsidR="00000000" w:rsidRPr="00000000">
        <w:rPr>
          <w:rFonts w:ascii="Calibri" w:cs="Calibri" w:eastAsia="Calibri" w:hAnsi="Calibri"/>
          <w:color w:val="2f2e2e"/>
          <w:rtl w:val="0"/>
        </w:rPr>
        <w:t xml:space="preserve">. Estas transacciones están impulsadas por el mayor uso de las billeteras digitales, y se recoge que se realizaron 591 pagos digitales por adulto, lo que implica un promedio diario de 1,6 pagos digitales por adulto en el país. De hecho, para finales de 2025, las dos billeteras digitales de mayor alcance acumularon 19 y 14 millones de usuarios respectivamente, lo que los posiciona como instrumentos ampliamente utilizados para operaciones cotidianas.</w:t>
      </w:r>
    </w:p>
    <w:p w:rsidR="00000000" w:rsidDel="00000000" w:rsidP="00000000" w:rsidRDefault="00000000" w:rsidRPr="00000000" w14:paraId="00000009">
      <w:pPr>
        <w:jc w:val="both"/>
        <w:rPr>
          <w:rFonts w:ascii="Calibri" w:cs="Calibri" w:eastAsia="Calibri" w:hAnsi="Calibri"/>
          <w:color w:val="2f2e2e"/>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color w:val="2f2e2e"/>
        </w:rPr>
      </w:pPr>
      <w:r w:rsidDel="00000000" w:rsidR="00000000" w:rsidRPr="00000000">
        <w:rPr>
          <w:rFonts w:ascii="Calibri" w:cs="Calibri" w:eastAsia="Calibri" w:hAnsi="Calibri"/>
          <w:color w:val="2f2e2e"/>
          <w:rtl w:val="0"/>
        </w:rPr>
        <w:t xml:space="preserve">No obstante, pese al avance del número de adultos con cuenta o billetera digital y el incremento en las transacciones, aún hay una importante brecha de acceso desigual a la banca digital u otros productos financieros de mayor valor. Según indica la Superintendencia de Banca, Seguros y AFP (SBS), el 30% de los adultos peruanos no cuenta con ningún servicio financiero formal, ya sea una cuenta bancaria o una billetera digital y apenas alrededor del 33% de los adultos tiene algún tipo de acceso a crédito. Para poner remedio a esta situación, el SBS ha propuesto la implementación del  sistema de Finanzas Abiertas (Open Finance), un modelo que permite que los usuarios compartan sus datos financieros con diferentes instituciones de forma segura, estandarizada y con su consentimiento. Con esto, el usuario es dueño de sus datos financieros y puede utilizarlos para acceder a mejores productos o condiciones en distintas entidades.</w:t>
      </w:r>
    </w:p>
    <w:p w:rsidR="00000000" w:rsidDel="00000000" w:rsidP="00000000" w:rsidRDefault="00000000" w:rsidRPr="00000000" w14:paraId="0000000B">
      <w:pPr>
        <w:spacing w:after="240" w:before="240" w:lineRule="auto"/>
        <w:jc w:val="both"/>
        <w:rPr>
          <w:rFonts w:ascii="Calibri" w:cs="Calibri" w:eastAsia="Calibri" w:hAnsi="Calibri"/>
        </w:rPr>
      </w:pPr>
      <w:r w:rsidDel="00000000" w:rsidR="00000000" w:rsidRPr="00000000">
        <w:rPr>
          <w:rFonts w:ascii="Calibri" w:cs="Calibri" w:eastAsia="Calibri" w:hAnsi="Calibri"/>
          <w:color w:val="2f2e2e"/>
          <w:rtl w:val="0"/>
        </w:rPr>
        <w:t xml:space="preserve">De esta forma, con el nuevo sistema, los datos financieros se compartirán mediante APIs estandarizadas sólo entre entidades autorizadas y consentimiento expreso del usuario. No obstante, al tratarse de información tan crítica, para que el sistema sea utilizado con total confianza, la identidad digital y la biometría, ya considerada un nuevo estándar de seguridad global, se posicionan como elementos clave para garantizar que los datos financieros se compartan de forma segura y que el usuario mantenga el control. </w:t>
      </w:r>
      <w:r w:rsidDel="00000000" w:rsidR="00000000" w:rsidRPr="00000000">
        <w:rPr>
          <w:rFonts w:ascii="Calibri" w:cs="Calibri" w:eastAsia="Calibri" w:hAnsi="Calibri"/>
          <w:rtl w:val="0"/>
        </w:rPr>
        <w:t xml:space="preserve">Soluciones como las de Identy.io permiten que los usuarios verifiquen su identidad de manera inequívoca mediante la captura de sus huellas dactilares o mediante reconocimiento facial, garantizando que realmente es esa persona quien autoriza el acceso a compartir su información en el sistema.</w:t>
      </w:r>
    </w:p>
    <w:p w:rsidR="00000000" w:rsidDel="00000000" w:rsidP="00000000" w:rsidRDefault="00000000" w:rsidRPr="00000000" w14:paraId="0000000C">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Además, el sistema de verificación de Identy.io se integra directamente en el celular del usuario y ofrece una interfaz totalmente intuitiva y sencilla de utilizar, ya que su sistema de verificación mediante prueba de vida pasiva (passive liveness) no requiere que el  usuario realice ningún tipo de acción concreta, simplificando en gran medida el proceso incluso para personas poco acostumbradas al entorno digital. Con ello, podrá ser utilizada por un amplio porcentaje de población sin importar su nivel de conocimiento técnico. Además, los sistemas de identificación Identy.io son sin contacto y no requieren de hardware especializado, ni de sensores biométricos en el propio teléfono, solo de un terminal con cámara y flash, aunque no sea de última generación, haciendo la solución más accesible. </w:t>
      </w:r>
    </w:p>
    <w:p w:rsidR="00000000" w:rsidDel="00000000" w:rsidP="00000000" w:rsidRDefault="00000000" w:rsidRPr="00000000" w14:paraId="0000000D">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De esta forma, gracias a la biometría, los usuarios pueden compartir con total seguridad sus datos en el sistema de Finanzas Abiertas para, por ejemplo, obtener por primera vez valoración crediticia en un sistema que tradicionalmente no les permitía obtener préstamos. Esto se debe a que los bancos suelen evaluar a los solicitantes a partir de su historial crediticio bancario pero, hasta el momento, cerca del 70% de la población no tienen acceso a productos financieros y solo manejan su dinero principalmente en efectivo o en billeteras digitales, por lo que al no contar con un historial bancario tradicional quedan fuera del sistema de evaluación crediticia. Ahora las instituciones financieras pueden acceder a datos provenientes de otras fuentes como pagos digitales y uso de billeteras electrónicas, información que puede ayudar a demostrar que una persona tiene capacidad y disciplina de pago. Con ello, millones de personas que antes estaban fuera del sistema financiero formal acceden por primera vez a crédito. </w:t>
      </w:r>
    </w:p>
    <w:p w:rsidR="00000000" w:rsidDel="00000000" w:rsidP="00000000" w:rsidRDefault="00000000" w:rsidRPr="00000000" w14:paraId="0000000E">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Según Jesús Aragón, CEO de </w:t>
      </w:r>
      <w:hyperlink r:id="rId7">
        <w:r w:rsidDel="00000000" w:rsidR="00000000" w:rsidRPr="00000000">
          <w:rPr>
            <w:rFonts w:ascii="Calibri" w:cs="Calibri" w:eastAsia="Calibri" w:hAnsi="Calibri"/>
            <w:color w:val="1155cc"/>
            <w:u w:val="single"/>
            <w:rtl w:val="0"/>
          </w:rPr>
          <w:t xml:space="preserve">Identy.io</w:t>
        </w:r>
      </w:hyperlink>
      <w:r w:rsidDel="00000000" w:rsidR="00000000" w:rsidRPr="00000000">
        <w:rPr>
          <w:rFonts w:ascii="Calibri" w:cs="Calibri" w:eastAsia="Calibri" w:hAnsi="Calibri"/>
          <w:rtl w:val="0"/>
        </w:rPr>
        <w:t xml:space="preserve"> “Según Perú avanza en torno a una digitalización financiera más abierta e inclusiva, que pone al usuario en el centro, la biometría y soluciones como las de Identy.io no son solo innovación tecnológica, sino que se convierte en habilitadores de  de confianza. Garantizan que cada transacción sea segura, protege la identidad del usuario y permite que millones de peruanos accedan a  nuevos servicios financieros”</w:t>
      </w:r>
    </w:p>
    <w:p w:rsidR="00000000" w:rsidDel="00000000" w:rsidP="00000000" w:rsidRDefault="00000000" w:rsidRPr="00000000" w14:paraId="0000000F">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Perú también enfrenta la brecha digital existente entre las zonas urbanas y las rurales, donde en esta última, sólo el 37,4 % de la población rural adulta tiene acceso a una cuenta en el sistema financiero, según datos del BCRP. No obstante, el 74.1% de la población rural sin productos financieros posee un celular, pero solo la mitad accede a internet. Así, en zonas rurales, donde la conectividad puede ser más limitada, la  filosofía mobile-first de Identy.io se convierte en un factor clave para cerrar la brecha digital. Dado que la verificación de identidad se realiza procesando los datos en el propio dispositivo, la solución no necesita conectarse a una base de datos en la nube ni requiere de conexión a la red. </w:t>
      </w:r>
    </w:p>
    <w:p w:rsidR="00000000" w:rsidDel="00000000" w:rsidP="00000000" w:rsidRDefault="00000000" w:rsidRPr="00000000" w14:paraId="00000010">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De esta forma, pese a que tradicionalmente las personas debían acudir físicamente a una sucursal para acceder a un banco o solicitar un producto financiero, la verificación de identidad por biometría permite un acceso totalmente seguro al sistema bancario de forma remota, y con la interoperabilidad de las finanzas abiertas, los usuarios pueden compartir la información en varias entidades, todo ello sin desplazamientos. Esto elimina barreras geográficas y reduce la exclusión financiera, porque ahora personas en comunidades alejadas pueden acceder a los mismos servicios que alguien en una ciudad grande.</w:t>
      </w:r>
    </w:p>
    <w:p w:rsidR="00000000" w:rsidDel="00000000" w:rsidP="00000000" w:rsidRDefault="00000000" w:rsidRPr="00000000" w14:paraId="00000011">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Sobre Identy.io</w:t>
      </w:r>
    </w:p>
    <w:p w:rsidR="00000000" w:rsidDel="00000000" w:rsidP="00000000" w:rsidRDefault="00000000" w:rsidRPr="00000000" w14:paraId="0000001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3">
      <w:pPr>
        <w:jc w:val="both"/>
        <w:rPr>
          <w:rFonts w:ascii="Calibri" w:cs="Calibri" w:eastAsia="Calibri" w:hAnsi="Calibri"/>
        </w:rPr>
      </w:pPr>
      <w:r w:rsidDel="00000000" w:rsidR="00000000" w:rsidRPr="00000000">
        <w:rPr>
          <w:rFonts w:ascii="Calibri" w:cs="Calibri" w:eastAsia="Calibri" w:hAnsi="Calibri"/>
          <w:rtl w:val="0"/>
        </w:rPr>
        <w:t xml:space="preserve">Con sede en EEUU y sedes en Brasil, México, Colombia, España e India, Identy.io es la referencia mundial en verificación de identidad digital mediante el uso de biometría móvil sin contacto. En Identy.io creemos en la autenticación multifactor, a la vez que abogamos por la necesidad de sustituir los métodos tradicionales de verificación de identidad mediante contraseñas, tokens u OTPs (One Time Password, por sus siglas en inglés), que no garantizan la identidad del usuario.</w:t>
      </w:r>
    </w:p>
    <w:p w:rsidR="00000000" w:rsidDel="00000000" w:rsidP="00000000" w:rsidRDefault="00000000" w:rsidRPr="00000000" w14:paraId="0000001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Fonts w:ascii="Calibri" w:cs="Calibri" w:eastAsia="Calibri" w:hAnsi="Calibri"/>
          <w:rtl w:val="0"/>
        </w:rPr>
        <w:t xml:space="preserve">En Identy.io trabajamos con instituciones para garantizar la identidad en sus procesos de negocio mediante el uso de biometría sin contacto desde los dispositivos móviles de los usuarios. Nuestra protección de la autenticación física (liveness) hace que la biometría sea segura y desplegable a gran escala. Para más información, visite </w:t>
      </w:r>
      <w:hyperlink r:id="rId8">
        <w:r w:rsidDel="00000000" w:rsidR="00000000" w:rsidRPr="00000000">
          <w:rPr>
            <w:rFonts w:ascii="Calibri" w:cs="Calibri" w:eastAsia="Calibri" w:hAnsi="Calibri"/>
            <w:rtl w:val="0"/>
          </w:rPr>
          <w:t xml:space="preserve">https://identy.io</w:t>
        </w:r>
      </w:hyperlink>
      <w:r w:rsidDel="00000000" w:rsidR="00000000" w:rsidRPr="00000000">
        <w:rPr>
          <w:rtl w:val="0"/>
        </w:rPr>
      </w:r>
    </w:p>
    <w:p w:rsidR="00000000" w:rsidDel="00000000" w:rsidP="00000000" w:rsidRDefault="00000000" w:rsidRPr="00000000" w14:paraId="00000016">
      <w:pPr>
        <w:spacing w:after="240" w:before="240" w:lineRule="auto"/>
        <w:jc w:val="both"/>
        <w:rPr/>
      </w:pPr>
      <w:r w:rsidDel="00000000" w:rsidR="00000000" w:rsidRPr="00000000">
        <w:rPr>
          <w:rtl w:val="0"/>
        </w:rPr>
      </w:r>
    </w:p>
    <w:sectPr>
      <w:head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wp:posOffset>
          </wp:positionH>
          <wp:positionV relativeFrom="paragraph">
            <wp:posOffset>-142873</wp:posOffset>
          </wp:positionV>
          <wp:extent cx="2680349" cy="601075"/>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680349" cy="601075"/>
                  </a:xfrm>
                  <a:prstGeom prst="rect"/>
                  <a:ln/>
                </pic:spPr>
              </pic:pic>
            </a:graphicData>
          </a:graphic>
        </wp:anchor>
      </w:drawing>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identy.io" TargetMode="External"/><Relationship Id="rId8" Type="http://schemas.openxmlformats.org/officeDocument/2006/relationships/hyperlink" Target="https://identy.i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ujYK7lkZ09+ZehmPCLhT1QeT4w==">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