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8C6CA" w14:textId="77777777" w:rsidR="009E16ED" w:rsidRDefault="009E16E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268C6CB" w14:textId="77777777" w:rsidR="009E16ED" w:rsidRDefault="00000000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Warszawa, 24 marca 2026 r.</w:t>
      </w:r>
    </w:p>
    <w:p w14:paraId="4268C6CC" w14:textId="77777777" w:rsidR="009E16ED" w:rsidRDefault="009E16ED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4268C6CD" w14:textId="77777777" w:rsidR="009E16ED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Agentic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commerce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zmienia zasady gry w handlu. Blisko jedna trzecia firm w branży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retail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ma plany na jego wdrożenie</w:t>
      </w:r>
    </w:p>
    <w:p w14:paraId="4268C6CE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– nowy model zakupów oparty na agentach AI – przestaje być futurystyczną wizją, a staje się realnym kierunkiem rozwoju e-commerce. Jak wynika z najnowszego Barometru Retail firmy doradczo-technologicznej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, 29 proc. organizacji z sektora handlu prowadzi prace lub ma plany na jego wdrożenie. Z kolei blisko jedna czwarta (24 proc.) jest na ten moment niezdecydowana w tym zakresie. Globalne trendy i rozwój technologii pokazują natomiast, że ta zmiana jest nieunikniona.</w:t>
      </w:r>
    </w:p>
    <w:p w14:paraId="4268C6CF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Nowa era zakupów</w:t>
      </w:r>
    </w:p>
    <w:p w14:paraId="4268C6D0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 kolejny etap ewolucji handlu cyfrowego, w którym kluczową rolę odgrywają inteligentni agenci AI działający w imieniu użytkownika. Nie tylko wyszukują produkty, ale także analizują potrzeby, podejmują decyzje zakupowe, a nawet finalizują transakcje bezpośrednio w interfejsie czatu.</w:t>
      </w:r>
    </w:p>
    <w:p w14:paraId="4268C6D1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Zmiana ta redefiniuje całą ścieżkę zakupową. Konsument nie musi już przeglądać dziesiątek ofert ani porównywać parametrów – agent AI robi to za niego, uwzględniając kontekst, preferencje i historię zakupową. W praktyce oznacza to skrócenie procesu zakupowego z kilkunastu minut lub godzin do zaledwie kilku chwil.</w:t>
      </w:r>
    </w:p>
    <w:p w14:paraId="4268C6D2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Jednocześnie, rośnie rola konwersacyjnych interfejsów zakupowych. Coraz więcej użytkowników poszukuje produktów w narzędziach opartych o sztuczną inteligencję zamiast w tradycyjnych wyszukiwarkach, co zmusza marki do przeprojektowania strategii dotarcia do klienta.</w:t>
      </w:r>
    </w:p>
    <w:p w14:paraId="4268C6D3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Polski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retail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na rozdrożu</w:t>
      </w:r>
    </w:p>
    <w:p w14:paraId="4268C6D4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Dane z Barometru Retail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pokazują, że polski rynek wciąż podchodzi do </w:t>
      </w: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 dużą rezerwą. Blisko połowa (47 proc). firm nie przewiduje wdrożenia tego rozwiązania w 2026 roku, a kolejne 24 proc. nie ma jeszcze wyrobionego zdania.</w:t>
      </w:r>
    </w:p>
    <w:p w14:paraId="4268C6D5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Jedynie 5 proc. organizacji planuje uruchomienie pilotażu, a tyle samo prowadzi obecnie badania i analizy. Pozostałe 19 proc. deklaruje zainteresowanie tym obszarem, ale w dalszej perspektywie.</w:t>
      </w:r>
    </w:p>
    <w:p w14:paraId="4268C6D6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 wyniki wskazują na wyraźny rozdźwięk między tempem rozwoju technologii, a gotowością organizacji do jej wdrażania. Z jednej strony rynek obserwuje dynamiczne inwestycje globalnych graczy w rozwiązania oparte na agentach AI, z drugiej – wiele firm wciąż analizuje potencjalne ryzyka i szuka właściwego momentu wejścia.</w:t>
      </w:r>
    </w:p>
    <w:p w14:paraId="4268C6D7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Przewaga agentów AI</w:t>
      </w:r>
    </w:p>
    <w:p w14:paraId="4268C6D8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Największą wartością </w:t>
      </w: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jest jej zdolność do podejmowania decyzji zakupowych w oparciu o złożone kryteria. W przeciwieństwie do tradycyjnych wyszukiwarek, które prezentują szeroki wachlarz wyników, agenci koncentrują się na znalezieniu najlepszego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możliwego rozwiązania dla konkretnego użytkownika. Ich rola rośnie szczególnie w przypadku produktów wymagających analizy wielu parametrów – takich jak elektronika, produkty </w:t>
      </w:r>
      <w:proofErr w:type="spellStart"/>
      <w:r>
        <w:rPr>
          <w:rFonts w:ascii="Arial" w:eastAsia="Arial" w:hAnsi="Arial" w:cs="Arial"/>
          <w:sz w:val="22"/>
          <w:szCs w:val="22"/>
        </w:rPr>
        <w:t>premium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czy zakupy związane ze stylem życia. W takich sytuacjach AI nie tylko rekomenduje, ale realnie upraszcza proces decyzyjny. Co więcej, agenci mogą działać proaktywnie – monitorować ceny, czekać na najlepszy moment zakupu czy informować o promocjach, co dodatkowo zmienia dynamikę relacji między marką a klientem.</w:t>
      </w:r>
    </w:p>
    <w:p w14:paraId="4268C6D9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Zaufanie jako kluczowa bariera</w:t>
      </w:r>
    </w:p>
    <w:p w14:paraId="4268C6DA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Rozwój </w:t>
      </w: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wiąże się jednak z istotnym wyzwaniem, którym jest zaufanie użytkowników. Konsumenci są gotowi powierzyć agentom AI część kontroli nad zakupami, ale pod określonymi warunkami.</w:t>
      </w:r>
    </w:p>
    <w:p w14:paraId="4268C6DB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 danych </w:t>
      </w:r>
      <w:proofErr w:type="spellStart"/>
      <w:r>
        <w:rPr>
          <w:rFonts w:ascii="Arial" w:eastAsia="Arial" w:hAnsi="Arial" w:cs="Arial"/>
          <w:sz w:val="22"/>
          <w:szCs w:val="22"/>
        </w:rPr>
        <w:t>PwC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wynika, że aż 64 proc. użytkowników zaakceptowałoby taką formę zakupów, jeśli spełnione zostaną konkretne wymagania – takie jak możliwość zatwierdzania transakcji, gwarancja zwrotu środków w przypadku pomyłki czy pełna kontrola nad wydatkami.</w:t>
      </w:r>
    </w:p>
    <w:p w14:paraId="4268C6DC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Jednocześnie, blisko jedna trzecia (32 proc.) deklaruje całkowity brak zaufania do rozwiązań, które miałyby dostęp do ich finansów. To pokazuje, że rozwój </w:t>
      </w: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będzie w dużej mierze zależał od transparentności, bezpieczeństwa i jakości doświadczenia użytkownika.</w:t>
      </w:r>
    </w:p>
    <w:p w14:paraId="4268C6DD" w14:textId="77777777" w:rsidR="009E16ED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Od eksperymentu do standardu rynkowego</w:t>
      </w:r>
    </w:p>
    <w:p w14:paraId="4268C6DE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nie jest już koncepcją teoretyczną. Najwięksi gracze e-commerce wdrażają rozwiązania oparte na agentach AI, które wspierają klientów w wyborze produktów, personalizują ofertę i zwiększają sprzedaż. W kolejnych latach można spodziewać się dalszego uproszczenia procesu zakupowego, jeszcze głębszej personalizacji oraz rozwoju nowych interfejsów – w tym cyfrowych asystentów AI.</w:t>
      </w:r>
    </w:p>
    <w:p w14:paraId="4268C6E0" w14:textId="58B21555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Krajobraz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zmienia się praktycznie z każdym tygodniem. Tydzień temu oglądaliśmy premierę Von Halskiego od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InPost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a w tym samym czasie z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OpenAI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płynęły przecieki o zmianie strategii i skierowaniu zasobów z rozwiązań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na rozwój produktów B2B. Zmiana kursu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OpenAI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nie powinna zahamować rozwoju tego zjawiska. Konsumenci zdążyli się przyzwyczaić do nowej formy odkrywania i porównywania produktów. Teraz jest czas, aby tę zmianę nawyków wykorzystać i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InPost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bazując na swoim ekosystemie robi to w dobrym momencie. Budowa podobnych rozwiązań przez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retailerów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to kolejna szansa na zyskanie przewagi poprzez zapewnienie jeszcze szybszego i wygodniejszego doświadczenia klienta. Jednak agenci AI to nie jedyny obszar, w który warto inwestować – wszelkie formy upraszczania zakupów jak podsumowywanie opinii, inteligentne porównywania produktów na bazie spersonalizowanych kryteriów, wirtualne przymierzanie, które w końcu działa dobrze – sposobów na skuteczne wykorzystanie AI jest coraz więcej. Warto jednak pamiętać, że warstwa doświadczenia użytkownika nie wyczerpuje </w:t>
      </w:r>
      <w:r w:rsidR="00741C1E">
        <w:rPr>
          <w:rFonts w:ascii="Arial" w:eastAsia="Arial" w:hAnsi="Arial" w:cs="Arial"/>
          <w:i/>
          <w:iCs/>
          <w:sz w:val="22"/>
          <w:szCs w:val="22"/>
        </w:rPr>
        <w:t>tematu, przykład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OpenAI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pokazał jak trudna jest integracja informacji produktowych i płatności od różnych dostawców na różnych rynkach. Dlatego szykując się na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agentyzację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zakupów warto zadbać również o doświadczenie agentów w cyfrowych kanałach marki </w:t>
      </w:r>
      <w:r>
        <w:rPr>
          <w:rFonts w:ascii="Arial" w:eastAsia="Arial" w:hAnsi="Arial" w:cs="Arial"/>
          <w:sz w:val="22"/>
          <w:szCs w:val="22"/>
        </w:rPr>
        <w:t xml:space="preserve">– podsumowuje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Emil Waszkowski, VP of Commercial Development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4268C6E1" w14:textId="77777777" w:rsidR="009E16ED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Dla firm oznacza to konieczność podjęcia działań już dziś. Kluczowe staje się uporządkowanie danych, integracja systemów oraz budowanie widoczności w ekosystemach AI, które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stopniowo zastępują tradycyjne kanały wyszukiwania. </w:t>
      </w:r>
      <w:proofErr w:type="spellStart"/>
      <w:r>
        <w:rPr>
          <w:rFonts w:ascii="Arial" w:eastAsia="Arial" w:hAnsi="Arial" w:cs="Arial"/>
          <w:sz w:val="22"/>
          <w:szCs w:val="22"/>
        </w:rPr>
        <w:t>Agentic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commerce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zmienia nie tylko sposób, w jaki konsumenci kupują, ale także sposób, w jaki marki muszą myśleć o sprzedaży.</w:t>
      </w:r>
    </w:p>
    <w:p w14:paraId="4268C6E2" w14:textId="77777777" w:rsidR="009E16ED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Barometr Retail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został przygotowany przy użyciu dwóch metod badawczych: wywiadów internetowych wspomaganych komputerowo (CAWI) oraz wywiadów telefonicznych wspomaganych komputerowo (CATI</w:t>
      </w:r>
      <w:proofErr w:type="gramStart"/>
      <w:r>
        <w:rPr>
          <w:rFonts w:ascii="Arial" w:eastAsia="Arial" w:hAnsi="Arial" w:cs="Arial"/>
          <w:i/>
          <w:iCs/>
          <w:sz w:val="18"/>
          <w:szCs w:val="18"/>
        </w:rPr>
        <w:t>) .</w:t>
      </w:r>
      <w:proofErr w:type="gramEnd"/>
      <w:r>
        <w:rPr>
          <w:rFonts w:ascii="Arial" w:eastAsia="Arial" w:hAnsi="Arial" w:cs="Arial"/>
          <w:i/>
          <w:iCs/>
          <w:sz w:val="18"/>
          <w:szCs w:val="18"/>
        </w:rPr>
        <w:t xml:space="preserve"> Dane zostały zebrane od 21 uczestników z Polski. Respondentami byli kluczowi decydenci z firm, których centralną działalność stanowi handel detaliczny. Przedstawione spostrzeżenia odzwierciedlają perspektywy i doświadczenia liderów branży </w:t>
      </w: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retail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>, dzięki czemu dostarczają kompleksowego obrazu aktualnych trendów i wyzwań w sektorze.</w:t>
      </w:r>
    </w:p>
    <w:p w14:paraId="4268C6E3" w14:textId="77777777" w:rsidR="009E16ED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</w:t>
      </w:r>
    </w:p>
    <w:p w14:paraId="4268C6E4" w14:textId="77777777" w:rsidR="009E16ED" w:rsidRDefault="00000000">
      <w:pPr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 xml:space="preserve">to nagradzana spółka doradczo-technologiczna, która od 18 lat tworzy innowacyjne produkty cyfrowe. Zespół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oraz rozwoju i utrzymaniu produktów cyfrowych. W projektach łączy potencjał technologii mobilnych i </w:t>
      </w:r>
      <w:proofErr w:type="spellStart"/>
      <w:r>
        <w:rPr>
          <w:rFonts w:ascii="Arial" w:eastAsia="Arial" w:hAnsi="Arial" w:cs="Arial"/>
          <w:sz w:val="18"/>
          <w:szCs w:val="18"/>
        </w:rPr>
        <w:t>backendowych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4268C6E5" w14:textId="77777777" w:rsidR="009E16ED" w:rsidRPr="00741C1E" w:rsidRDefault="00000000">
      <w:pPr>
        <w:jc w:val="both"/>
        <w:rPr>
          <w:rFonts w:ascii="Arial" w:eastAsia="Arial" w:hAnsi="Arial" w:cs="Arial"/>
          <w:b/>
          <w:bCs/>
          <w:sz w:val="18"/>
          <w:szCs w:val="18"/>
          <w:lang w:val="en-GB"/>
        </w:rPr>
      </w:pPr>
      <w:proofErr w:type="spellStart"/>
      <w:r w:rsidRPr="00741C1E">
        <w:rPr>
          <w:rFonts w:ascii="Arial" w:eastAsia="Arial" w:hAnsi="Arial" w:cs="Arial"/>
          <w:sz w:val="18"/>
          <w:szCs w:val="18"/>
          <w:lang w:val="en-GB"/>
        </w:rPr>
        <w:t>Więcej</w:t>
      </w:r>
      <w:proofErr w:type="spellEnd"/>
      <w:r w:rsidRPr="00741C1E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741C1E">
        <w:rPr>
          <w:rFonts w:ascii="Arial" w:eastAsia="Arial" w:hAnsi="Arial" w:cs="Arial"/>
          <w:sz w:val="18"/>
          <w:szCs w:val="18"/>
          <w:lang w:val="en-GB"/>
        </w:rPr>
        <w:t>na</w:t>
      </w:r>
      <w:proofErr w:type="spellEnd"/>
      <w:r w:rsidRPr="00741C1E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741C1E">
        <w:rPr>
          <w:rFonts w:ascii="Arial" w:eastAsia="Arial" w:hAnsi="Arial" w:cs="Arial"/>
          <w:sz w:val="18"/>
          <w:szCs w:val="18"/>
          <w:lang w:val="en-GB"/>
        </w:rPr>
        <w:t>stronie</w:t>
      </w:r>
      <w:proofErr w:type="spellEnd"/>
      <w:r w:rsidRPr="00741C1E">
        <w:rPr>
          <w:rFonts w:ascii="Arial" w:eastAsia="Arial" w:hAnsi="Arial" w:cs="Arial"/>
          <w:sz w:val="18"/>
          <w:szCs w:val="18"/>
          <w:lang w:val="en-GB"/>
        </w:rPr>
        <w:t>:</w:t>
      </w:r>
      <w:r w:rsidRPr="00741C1E">
        <w:rPr>
          <w:rFonts w:ascii="Arial" w:eastAsia="Arial" w:hAnsi="Arial" w:cs="Arial"/>
          <w:b/>
          <w:bCs/>
          <w:sz w:val="18"/>
          <w:szCs w:val="18"/>
          <w:lang w:val="en-GB"/>
        </w:rPr>
        <w:t xml:space="preserve"> </w:t>
      </w:r>
      <w:hyperlink r:id="rId9">
        <w:r w:rsidRPr="00741C1E">
          <w:rPr>
            <w:rFonts w:ascii="Arial" w:eastAsia="Arial" w:hAnsi="Arial" w:cs="Arial"/>
            <w:b/>
            <w:bCs/>
            <w:color w:val="0000FF"/>
            <w:sz w:val="18"/>
            <w:szCs w:val="18"/>
            <w:u w:val="single"/>
            <w:lang w:val="en-GB"/>
          </w:rPr>
          <w:t>Future Mind • Digital Advisory &amp; Delivery</w:t>
        </w:r>
      </w:hyperlink>
    </w:p>
    <w:sectPr w:rsidR="009E16ED" w:rsidRPr="00741C1E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AAE77" w14:textId="77777777" w:rsidR="00B40471" w:rsidRDefault="00B40471">
      <w:pPr>
        <w:spacing w:after="0" w:line="240" w:lineRule="auto"/>
      </w:pPr>
      <w:r>
        <w:separator/>
      </w:r>
    </w:p>
  </w:endnote>
  <w:endnote w:type="continuationSeparator" w:id="0">
    <w:p w14:paraId="3AB1FB9F" w14:textId="77777777" w:rsidR="00B40471" w:rsidRDefault="00B40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FABB3A-4A5C-457C-BCED-9D00B68BDA03}"/>
    <w:embedItalic r:id="rId2" w:fontKey="{21D43AA0-CB63-4789-B10F-600D32733975}"/>
  </w:font>
  <w:font w:name="Play">
    <w:charset w:val="00"/>
    <w:family w:val="auto"/>
    <w:pitch w:val="default"/>
    <w:embedRegular r:id="rId3" w:fontKey="{5BF1DF6D-1D50-4AA8-B572-A9164C24F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1E63655-27F4-471A-B1DE-8507FD972D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DAA6962-4E19-405B-A465-6D10ED639C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C5CFD" w14:textId="77777777" w:rsidR="00B40471" w:rsidRDefault="00B40471">
      <w:pPr>
        <w:spacing w:after="0" w:line="240" w:lineRule="auto"/>
      </w:pPr>
      <w:r>
        <w:separator/>
      </w:r>
    </w:p>
  </w:footnote>
  <w:footnote w:type="continuationSeparator" w:id="0">
    <w:p w14:paraId="7556BAEB" w14:textId="77777777" w:rsidR="00B40471" w:rsidRDefault="00B40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8C6E6" w14:textId="77777777" w:rsidR="009E16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268C6E7" wp14:editId="4268C6E8">
          <wp:simplePos x="0" y="0"/>
          <wp:positionH relativeFrom="margin">
            <wp:align>right</wp:align>
          </wp:positionH>
          <wp:positionV relativeFrom="margin">
            <wp:posOffset>-622934</wp:posOffset>
          </wp:positionV>
          <wp:extent cx="2973070" cy="35814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6ED"/>
    <w:rsid w:val="006F4834"/>
    <w:rsid w:val="00741C1E"/>
    <w:rsid w:val="009E16ED"/>
    <w:rsid w:val="00B40471"/>
    <w:rsid w:val="00C7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C6CA"/>
  <w15:docId w15:val="{E733AADF-9C8D-4832-B355-8D269D5F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uturemind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32A36832A0A41A9315B265E6415BB" ma:contentTypeVersion="17" ma:contentTypeDescription="Utwórz nowy dokument." ma:contentTypeScope="" ma:versionID="b39062b9af66d92f09ad22651d37b132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0478fde6ddbccf5c66e6d194a9438999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664326-99E0-4E47-B50B-9524DA008C79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2.xml><?xml version="1.0" encoding="utf-8"?>
<ds:datastoreItem xmlns:ds="http://schemas.openxmlformats.org/officeDocument/2006/customXml" ds:itemID="{1F7B0356-9932-4E5D-AC93-5BFA0BF008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DA16D6-AB07-4798-81E7-B05BF4577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11db4-53a2-4d1b-82ae-320485071b7a"/>
    <ds:schemaRef ds:uri="deeda2bc-8a38-4937-ba20-8ba6d0b05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1014</Words>
  <Characters>6592</Characters>
  <Application>Microsoft Office Word</Application>
  <DocSecurity>0</DocSecurity>
  <Lines>99</Lines>
  <Paragraphs>25</Paragraphs>
  <ScaleCrop>false</ScaleCrop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3</cp:revision>
  <dcterms:created xsi:type="dcterms:W3CDTF">2026-03-24T06:35:00Z</dcterms:created>
  <dcterms:modified xsi:type="dcterms:W3CDTF">2026-03-24T06:36:00Z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