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96E8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8"/>
          <w:szCs w:val="28"/>
          <w:lang w:val="pt-BR"/>
        </w:rPr>
      </w:pPr>
      <w:bookmarkStart w:id="0" w:name="_Hlk220511338"/>
      <w:r w:rsidRPr="000E0D0D">
        <w:rPr>
          <w:rFonts w:ascii="Noto Sans" w:eastAsia="Times New Roman" w:hAnsi="Noto Sans" w:cs="Noto Sans"/>
          <w:b/>
          <w:bCs/>
          <w:sz w:val="28"/>
          <w:szCs w:val="28"/>
          <w:lang w:val="pt-PT"/>
        </w:rPr>
        <w:t>A postos para a IA na indústria de impressão</w:t>
      </w:r>
    </w:p>
    <w:bookmarkEnd w:id="0"/>
    <w:p w14:paraId="174D3719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i/>
          <w:iCs/>
          <w:sz w:val="22"/>
          <w:lang w:val="pt-PT"/>
        </w:rPr>
        <w:t>A Inteligência Artificial (IA) está a transformar a indústria da impressão, oferecendo uma vasta gama de ferramentas que aumentam a produtividade, proporcionam insights mais inteligentes sobre os clientes e potenciam a criatividade em todas as operações dos fabricantes. Para os fabricantes de etiquetas e embalagens, já não é uma questão de saber se vão adotar ferramentas de IA, mas sim quando. Michael Matthews, Product Manager – DP Colour, Domino Printing Sciences, explora a adoção da IA nas empresas de etiquetas e embalagens da atualidade e fornece orientações para o sucesso da IA a longo prazo.</w:t>
      </w:r>
    </w:p>
    <w:p w14:paraId="08477474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2"/>
          <w:lang w:val="pt-BR"/>
        </w:rPr>
      </w:pPr>
      <w:r w:rsidRPr="000E0D0D">
        <w:rPr>
          <w:rFonts w:ascii="Noto Sans" w:eastAsia="Times New Roman" w:hAnsi="Noto Sans" w:cs="Noto Sans"/>
          <w:b/>
          <w:bCs/>
          <w:sz w:val="22"/>
          <w:lang w:val="pt-PT"/>
        </w:rPr>
        <w:t>A adoção da IA acelera</w:t>
      </w:r>
    </w:p>
    <w:p w14:paraId="384B4CB9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>De acordo com o relatório “</w:t>
      </w:r>
      <w:hyperlink r:id="rId6" w:history="1">
        <w:r w:rsidRPr="000E0D0D">
          <w:rPr>
            <w:rFonts w:ascii="Noto Sans" w:eastAsia="Times New Roman" w:hAnsi="Noto Sans" w:cs="Noto Sans"/>
            <w:color w:val="0563C1" w:themeColor="hyperlink"/>
            <w:sz w:val="22"/>
            <w:u w:val="single"/>
            <w:lang w:val="pt-PT"/>
          </w:rPr>
          <w:t>AI Adoption in the Print Industry</w:t>
        </w:r>
      </w:hyperlink>
      <w:r w:rsidRPr="000E0D0D">
        <w:rPr>
          <w:rFonts w:ascii="Noto Sans" w:eastAsia="Times New Roman" w:hAnsi="Noto Sans" w:cs="Noto Sans"/>
          <w:sz w:val="22"/>
          <w:lang w:val="pt-PT"/>
        </w:rPr>
        <w:t>” da Alliance Insights, 85% dos fornecedores de serviços de impressão dos EUA consideram a IA essencial para a competitividade. No entanto, embora muitas empresas de impressão estejam a dar os primeiros passos na inclusão da IA nas operações quotidianas, uma margem significativa de 42% continua sem saber por onde começar.</w:t>
      </w:r>
    </w:p>
    <w:p w14:paraId="3BCB3318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>O potencial é significativo: para além da automatização e otimização inteligentes através da aprendizagem automática, a utilização da IA para analisar dados do equipamento de produção de impressão e dos sistemas ERP pode transformar o insight empresarial. Da identificação dos ciclos de encomendas dos clientes e avaliação dos padrões de encomendas repetidas de tinta e substratos, à monitorização da eficiência do equipamento e dos intervalos de manutenção, a IA pode fornecer insight em tempo real para apoiar decisões mais inteligentes.</w:t>
      </w:r>
    </w:p>
    <w:p w14:paraId="7D73EA0B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2"/>
          <w:lang w:val="pt-BR"/>
        </w:rPr>
      </w:pPr>
      <w:r w:rsidRPr="000E0D0D">
        <w:rPr>
          <w:rFonts w:ascii="Noto Sans" w:eastAsia="Times New Roman" w:hAnsi="Noto Sans" w:cs="Noto Sans"/>
          <w:b/>
          <w:bCs/>
          <w:sz w:val="22"/>
          <w:lang w:val="pt-PT"/>
        </w:rPr>
        <w:t>Expandir a automatização inteligente existente</w:t>
      </w:r>
    </w:p>
    <w:p w14:paraId="62E6AF64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 xml:space="preserve">Muitos fabricantes já estão, de facto, a utilizar a IA no chão de fábrica, graças à integração da automatização inteligente baseada na aprendizagem automática em </w:t>
      </w:r>
      <w:hyperlink r:id="rId7" w:history="1">
        <w:r w:rsidRPr="000E0D0D">
          <w:rPr>
            <w:rFonts w:ascii="Noto Sans" w:eastAsia="Times New Roman" w:hAnsi="Noto Sans" w:cs="Noto Sans"/>
            <w:color w:val="0000EE"/>
            <w:sz w:val="22"/>
            <w:u w:val="single"/>
            <w:lang w:val="pt-PT"/>
          </w:rPr>
          <w:t>fluxos de trabalho de impressão modernos</w:t>
        </w:r>
      </w:hyperlink>
      <w:r w:rsidRPr="000E0D0D">
        <w:rPr>
          <w:rFonts w:ascii="Times New Roman" w:eastAsia="Times New Roman" w:hAnsi="Times New Roman" w:cs="Noto Sans"/>
          <w:sz w:val="24"/>
          <w:szCs w:val="24"/>
          <w:lang w:val="pt-PT"/>
        </w:rPr>
        <w:t xml:space="preserve">. </w:t>
      </w:r>
      <w:r w:rsidRPr="000E0D0D">
        <w:rPr>
          <w:rFonts w:ascii="Noto Sans" w:eastAsia="Times New Roman" w:hAnsi="Noto Sans" w:cs="Noto Sans"/>
          <w:sz w:val="22"/>
          <w:lang w:val="pt-PT"/>
        </w:rPr>
        <w:t xml:space="preserve">A utilização da IA para automatizar tarefas repetitivas de pré-impressão, planeamento e encaminhamento de trabalhos melhora a eficiência operacional, libertando os operadores para se concentrarem em tarefas que proporcionam maior valor.  </w:t>
      </w:r>
    </w:p>
    <w:p w14:paraId="46E371DC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>Além disso, a utilização da automatização inteligente nos módulos de otimização do layout e de gestão de cores, bem como do RIP em tempo real, permite a personalização de dados variáveis à escala, sem abrandar a produção, transformando a vantagem competitiva. A inspeção visual da qualidade orientada por IA para detetar erros antes que estes afetem a produção e os avisos de manutenção preditiva também oferecem vantagens significativas, incluindo menos desperdício, menos reimpressões e maior fiabilidade. No entanto, até à data, apenas 10% dos fabricantes afirmam ter explorado estas ferramentas.</w:t>
      </w:r>
    </w:p>
    <w:p w14:paraId="1E93D94B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2"/>
          <w:lang w:val="pt-BR"/>
        </w:rPr>
      </w:pPr>
      <w:bookmarkStart w:id="1" w:name="_Hlk220511207"/>
      <w:bookmarkStart w:id="2" w:name="_Hlk220510896"/>
      <w:r w:rsidRPr="000E0D0D">
        <w:rPr>
          <w:rFonts w:ascii="Noto Sans" w:eastAsia="Times New Roman" w:hAnsi="Noto Sans" w:cs="Noto Sans"/>
          <w:b/>
          <w:bCs/>
          <w:sz w:val="22"/>
          <w:lang w:val="pt-PT"/>
        </w:rPr>
        <w:t xml:space="preserve">Preparação para a IA </w:t>
      </w:r>
    </w:p>
    <w:p w14:paraId="2903D9F4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lastRenderedPageBreak/>
        <w:t xml:space="preserve">Dadas as diversas oportunidades proporcionadas pelas tecnologias de IA, é importante compreender qual a melhor forma de avançar. </w:t>
      </w:r>
      <w:bookmarkEnd w:id="1"/>
      <w:r w:rsidRPr="000E0D0D">
        <w:rPr>
          <w:rFonts w:ascii="Noto Sans" w:eastAsia="Times New Roman" w:hAnsi="Noto Sans" w:cs="Noto Sans"/>
          <w:sz w:val="22"/>
          <w:lang w:val="pt-PT"/>
        </w:rPr>
        <w:t xml:space="preserve">A IA não é uma solução única e pronta a usar que proporciona resultados imediatos, mas sim um conjunto de ferramentas e sistemas especializados que requerem condições específicas para proporcionar o máximo benefício aos fabricantes. </w:t>
      </w:r>
    </w:p>
    <w:bookmarkEnd w:id="2"/>
    <w:p w14:paraId="13CD38F7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 xml:space="preserve">Para desbloquear benefícios abrangentes, os fabricantes precisam de definir prioridades, planear e coordenar. Comece por avaliar onde a IA pode acrescentar mais valor e concentre-se num caso prioritário de utilização de IA, como a automatização de tarefas de pré-impressão, antes de expandir a implementação a toda a empresa. </w:t>
      </w:r>
    </w:p>
    <w:p w14:paraId="430F0E9B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b/>
          <w:bCs/>
          <w:sz w:val="22"/>
          <w:lang w:val="pt-BR"/>
        </w:rPr>
      </w:pPr>
      <w:r w:rsidRPr="000E0D0D">
        <w:rPr>
          <w:rFonts w:ascii="Noto Sans" w:eastAsia="Times New Roman" w:hAnsi="Noto Sans" w:cs="Noto Sans"/>
          <w:b/>
          <w:bCs/>
          <w:sz w:val="22"/>
          <w:lang w:val="pt-PT"/>
        </w:rPr>
        <w:t>Dados precisos</w:t>
      </w:r>
    </w:p>
    <w:p w14:paraId="33B036F6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>A IA oferece a oportunidade de criar um ecossistema orientado para os dados, em que todas as etapas do percurso do cliente e do processo de impressão são otimizadas em termos de velocidade, precisão e sustentabilidade. Como tal, a qualidade dos dados é fundamental. Os dados têm de ser limpos, acessíveis e bem estruturados, o que significa que é importante avaliar as capacidades de gestão de dados dos sistemas atuais, incluindo a captura de dados e as ferramentas de automatização inteligente.</w:t>
      </w:r>
    </w:p>
    <w:p w14:paraId="0A394F5E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>Para maximizar as vantagens da IA, todos os novos equipamentos de impressão e auxiliares devem ser ricos em dados, oferecendo capacidades de recolha e relatórios de dados sólidas e preparadas para o futuro para alimentar modelos de aprendizagem automática e de IA.</w:t>
      </w:r>
    </w:p>
    <w:p w14:paraId="53A66E03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b/>
          <w:bCs/>
          <w:sz w:val="22"/>
          <w:lang w:val="pt-PT"/>
        </w:rPr>
        <w:t>Requalifique a sua empresa</w:t>
      </w:r>
    </w:p>
    <w:p w14:paraId="32D75104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 xml:space="preserve">Os humanos continuarão a desempenhar um papel fundamental nas operações de impressão com IA. Os líderes na adoção da IA mantêm ativamente a supervisão humana dos processos de IA, sendo que mais de metade (56%) das empresas de impressão inquiridas asseguram que os membros da equipa humana inspecionam e verificam todas as funções de IA. Embora a análise da IA possa fornecer informações e previsões para apoiar a tomada de decisões, são necessários seres humanos para interpretar os resultados no contexto empresarial mais alargado e tomar decisões esclarecidas. </w:t>
      </w:r>
    </w:p>
    <w:p w14:paraId="094BDDD3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>Para o fazer de forma eficaz, os fabricantes terão de desenvolver competências em várias áreas de especialização. A literacia de dados é cada vez mais valiosa, permitindo que as equipas compreendam e validem as informações geradas por máquinas. Um conhecimento sólido do fluxo de trabalho continua a ser importante, ajudando os operadores a compreender como a IA se integra nos processos de pré-impressão, cor e produção. À medida que as ferramentas de IA se tornam mais comuns, a familiaridade básica com o funcionamento da aprendizagem automática e respetivas limitações contribuirá para uma adoção confiante.</w:t>
      </w:r>
    </w:p>
    <w:p w14:paraId="3E899330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lastRenderedPageBreak/>
        <w:t>Além disso, a resolução de problemas, a experiência em cores e qualidade de impressão e as competências em conetividade digital desempenharão um papel importante para garantir que os sistemas de IA fornecem um valor fiável e real. Com 23% das empresas de impressão a contratarem ativamente com base nas competências em matéria de IA, existe um forte reconhecimento de que as pessoas certas, com as competências certas, são fundamentais tanto para impulsionar a mudança como para gerir os processos com IA.</w:t>
      </w:r>
    </w:p>
    <w:p w14:paraId="3EE0605E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b/>
          <w:bCs/>
          <w:sz w:val="22"/>
          <w:lang w:val="pt-PT"/>
        </w:rPr>
        <w:t>O futuro: fábricas conectadas</w:t>
      </w:r>
    </w:p>
    <w:p w14:paraId="40DDDE60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>A IA vai continuar a desenvolver-se, criando fluxos de trabalho mais rápidos, mais inteligentes e mais eficientes que vão impulsionar a criação de fábricas conectadas. Plataformas de dados independentes da impressora irão potenciar insights em toda a empresa, dos padrões de compra dos clientes e a utilização de equipamentos à manutenção preventiva e ao consumo de materiais, apoiando decisões de negócio mais inteligentes.</w:t>
      </w:r>
    </w:p>
    <w:p w14:paraId="1AA8D5C1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 xml:space="preserve">Chegou o momento de os fabricantes se prepararem para utilizar a IA para obter sucesso empresarial a longo prazo. Para além do reforço da qualidade dos dados, será fundamental melhorar a conetividade entre equipamentos e sistemas e desenvolver competências em matéria de literacia de dados, compreensão do fluxo de trabalho e tomada de decisões com base na IA. Com as capacidades certas implementadas e o apoio de um </w:t>
      </w:r>
      <w:hyperlink r:id="rId8" w:history="1">
        <w:r w:rsidRPr="000E0D0D">
          <w:rPr>
            <w:rFonts w:ascii="Noto Sans" w:eastAsia="Times New Roman" w:hAnsi="Noto Sans" w:cs="Noto Sans"/>
            <w:color w:val="0000EE"/>
            <w:sz w:val="22"/>
            <w:u w:val="single"/>
            <w:lang w:val="pt-PT"/>
          </w:rPr>
          <w:t>fornecedor de impressão digital</w:t>
        </w:r>
      </w:hyperlink>
      <w:r w:rsidRPr="000E0D0D">
        <w:rPr>
          <w:rFonts w:ascii="Noto Sans" w:eastAsia="Times New Roman" w:hAnsi="Noto Sans" w:cs="Noto Sans"/>
          <w:sz w:val="22"/>
          <w:lang w:val="pt-PT"/>
        </w:rPr>
        <w:t xml:space="preserve"> de confiança e com experiência comprovada, os fabricantes podem não só adotar a IA, como também transformá-la numa vantagem competitiva sustentada, proporcionando uma base sólida para o sucesso futuro. </w:t>
      </w:r>
    </w:p>
    <w:p w14:paraId="5A1D0E86" w14:textId="77777777" w:rsidR="000E0D0D" w:rsidRPr="000E0D0D" w:rsidRDefault="000E0D0D" w:rsidP="000E0D0D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0E0D0D">
        <w:rPr>
          <w:rFonts w:ascii="Noto Sans" w:eastAsia="Times New Roman" w:hAnsi="Noto Sans" w:cs="Noto Sans"/>
          <w:sz w:val="22"/>
          <w:lang w:val="pt-PT"/>
        </w:rPr>
        <w:t>FIM</w:t>
      </w:r>
    </w:p>
    <w:p w14:paraId="29B953BD" w14:textId="579F90FC" w:rsidR="006C6C7C" w:rsidRPr="00FC465F" w:rsidRDefault="006C6C7C" w:rsidP="006C6C7C">
      <w:pPr>
        <w:spacing w:line="240" w:lineRule="auto"/>
        <w:rPr>
          <w:lang w:val="pt-BR"/>
        </w:rPr>
      </w:pPr>
      <w:r w:rsidRPr="00AB22C5">
        <w:rPr>
          <w:rFonts w:ascii="Noto Sans" w:eastAsia="Gill Sans" w:hAnsi="Noto Sans" w:cs="Noto Sans"/>
          <w:b/>
          <w:bCs/>
          <w:szCs w:val="18"/>
          <w:lang w:val="pt-PT"/>
        </w:rPr>
        <w:t>Isenção de responsabilidade</w:t>
      </w:r>
      <w:r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AB22C5">
        <w:rPr>
          <w:rFonts w:ascii="Noto Sans" w:hAnsi="Noto Sans" w:cs="Noto Sans"/>
          <w:b/>
          <w:bCs/>
          <w:szCs w:val="18"/>
          <w:lang w:val="pt-PT"/>
        </w:rPr>
        <w:t>Geral</w:t>
      </w:r>
      <w:r w:rsidRPr="0082657D">
        <w:rPr>
          <w:rFonts w:ascii="Noto Sans" w:hAnsi="Noto Sans" w:cs="Noto Sans"/>
          <w:szCs w:val="18"/>
          <w:lang w:val="pt-PT"/>
        </w:rPr>
        <w:br/>
      </w:r>
      <w:r w:rsidRPr="00FC465F">
        <w:rPr>
          <w:rFonts w:ascii="Noto Sans" w:hAnsi="Noto Sans" w:cs="Noto Sans"/>
          <w:szCs w:val="18"/>
          <w:lang w:val="pt-BR"/>
        </w:rPr>
        <w:t>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Domino. O presente documento não faz parte de quaisquer termos e condições celebrados entre si e a Domino.</w:t>
      </w:r>
      <w:r w:rsidR="00062E86" w:rsidRPr="00062E86">
        <w:rPr>
          <w:rFonts w:ascii="Noto Sans" w:hAnsi="Noto Sans" w:cs="Noto Sans"/>
          <w:szCs w:val="18"/>
          <w:lang w:val="pt-PT"/>
        </w:rPr>
        <w:t xml:space="preserve"> </w:t>
      </w:r>
      <w:r w:rsidR="00062E86" w:rsidRPr="0082657D">
        <w:rPr>
          <w:rFonts w:ascii="Noto Sans" w:hAnsi="Noto Sans" w:cs="Noto Sans"/>
          <w:szCs w:val="18"/>
          <w:lang w:val="pt-PT"/>
        </w:rPr>
        <w:br/>
      </w:r>
      <w:r w:rsidRPr="0082657D">
        <w:rPr>
          <w:rFonts w:ascii="Noto Sans" w:hAnsi="Noto Sans" w:cs="Noto Sans"/>
          <w:szCs w:val="18"/>
          <w:lang w:val="pt-PT"/>
        </w:rPr>
        <w:br/>
      </w:r>
      <w:r w:rsidRPr="00AB22C5">
        <w:rPr>
          <w:rFonts w:ascii="Noto Sans" w:hAnsi="Noto Sans" w:cs="Noto Sans"/>
          <w:b/>
          <w:bCs/>
          <w:szCs w:val="18"/>
          <w:lang w:val="pt-PT"/>
        </w:rPr>
        <w:t>Imagens</w:t>
      </w:r>
      <w:r w:rsidRPr="0082657D">
        <w:rPr>
          <w:rFonts w:ascii="Noto Sans" w:hAnsi="Noto Sans" w:cs="Noto Sans"/>
          <w:szCs w:val="18"/>
          <w:lang w:val="pt-PT"/>
        </w:rPr>
        <w:br/>
      </w:r>
      <w:r w:rsidRPr="00FC465F">
        <w:rPr>
          <w:rFonts w:ascii="Noto Sans" w:hAnsi="Noto Sans" w:cs="Noto Sans"/>
          <w:szCs w:val="18"/>
          <w:lang w:val="pt-BR"/>
        </w:rPr>
        <w:t>As imagens podem incluir melhorias ou extras opcionais. A qualidade de impressão pode variar de acordo com os consumíveis, o equipamento, a superfície e outros fatores. As imagens e fotografias não fazem parte de quaisquer termos e condições celebrados entre si e a</w:t>
      </w:r>
      <w:r>
        <w:rPr>
          <w:rFonts w:ascii="Noto Sans" w:hAnsi="Noto Sans" w:cs="Noto Sans"/>
          <w:szCs w:val="18"/>
          <w:lang w:val="pt-BR"/>
        </w:rPr>
        <w:t xml:space="preserve"> </w:t>
      </w:r>
      <w:r w:rsidRPr="00FC465F">
        <w:rPr>
          <w:rFonts w:ascii="Noto Sans" w:hAnsi="Noto Sans" w:cs="Noto Sans"/>
          <w:szCs w:val="18"/>
          <w:lang w:val="pt-BR"/>
        </w:rPr>
        <w:t>Domino.</w:t>
      </w:r>
      <w:r w:rsidRPr="0082657D">
        <w:rPr>
          <w:rFonts w:ascii="Noto Sans" w:hAnsi="Noto Sans" w:cs="Noto Sans"/>
          <w:szCs w:val="18"/>
          <w:lang w:val="pt-PT"/>
        </w:rPr>
        <w:br/>
      </w:r>
      <w:r w:rsidRPr="0082657D">
        <w:rPr>
          <w:rFonts w:ascii="Noto Sans" w:hAnsi="Noto Sans" w:cs="Noto Sans"/>
          <w:szCs w:val="18"/>
          <w:lang w:val="pt-PT"/>
        </w:rPr>
        <w:br/>
      </w:r>
      <w:bookmarkStart w:id="3" w:name="_Hlk61949672"/>
      <w:r w:rsidRPr="00AB22C5">
        <w:rPr>
          <w:rFonts w:ascii="Noto Sans" w:eastAsia="Gill Sans" w:hAnsi="Noto Sans" w:cs="Noto Sans"/>
          <w:b/>
          <w:bCs/>
          <w:szCs w:val="18"/>
          <w:lang w:val="pt-PT"/>
        </w:rPr>
        <w:t>Notas para os editores:</w:t>
      </w:r>
      <w:r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AB22C5">
        <w:rPr>
          <w:rFonts w:ascii="Noto Sans" w:eastAsia="Gill Sans" w:hAnsi="Noto Sans" w:cs="Noto Sans"/>
          <w:b/>
          <w:bCs/>
          <w:szCs w:val="18"/>
          <w:lang w:val="pt-PT"/>
        </w:rPr>
        <w:t>Acerca da Domino</w:t>
      </w:r>
      <w:r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AB22C5">
        <w:rPr>
          <w:rFonts w:ascii="Noto Sans" w:eastAsia="Gill Sans" w:hAnsi="Noto Sans" w:cs="Noto Sans"/>
          <w:szCs w:val="18"/>
          <w:lang w:val="pt-PT"/>
        </w:rPr>
        <w:t xml:space="preserve">A Digital Printing Solutions é uma divisão da Domino Printing Sciences. Fundada em 1978, a empresa estabeleceu uma reputação global relativamente ao desenvolvimento e fabrico de tecnologias de </w:t>
      </w:r>
      <w:r w:rsidRPr="00AB22C5">
        <w:rPr>
          <w:rFonts w:ascii="Noto Sans" w:eastAsia="Gill Sans" w:hAnsi="Noto Sans" w:cs="Noto Sans"/>
          <w:szCs w:val="18"/>
          <w:lang w:val="pt-PT"/>
        </w:rPr>
        <w:lastRenderedPageBreak/>
        <w:t>impressão a jato de tinta digital, assim como aos seus produtos de pós-venda e ao atendimento ao cliente a nível mundial.  Os seus serviços para o setor de impressão comercial incluem impressoras digitais a jato de tinta e sistemas de controlo desenvolvidos para proporcionar soluções para uma gama completa de aplicações de impressão de dados variáveis e etiquetagem.</w:t>
      </w:r>
      <w:r>
        <w:rPr>
          <w:rFonts w:ascii="Noto Sans" w:eastAsia="Gill Sans" w:hAnsi="Noto Sans" w:cs="Noto Sans"/>
          <w:szCs w:val="18"/>
          <w:lang w:val="pt-PT"/>
        </w:rPr>
        <w:br/>
      </w:r>
      <w:r>
        <w:rPr>
          <w:rFonts w:ascii="Noto Sans" w:eastAsia="Gill Sans" w:hAnsi="Noto Sans" w:cs="Noto Sans"/>
          <w:szCs w:val="18"/>
          <w:lang w:val="pt-PT"/>
        </w:rPr>
        <w:br/>
      </w:r>
      <w:r w:rsidRPr="00AB22C5">
        <w:rPr>
          <w:rFonts w:ascii="Noto Sans" w:eastAsia="Gill Sans" w:hAnsi="Noto Sans" w:cs="Noto Sans"/>
          <w:szCs w:val="18"/>
          <w:lang w:val="pt-PT"/>
        </w:rPr>
        <w:t>Todas as impressoras da Domino são desenvolvidas para satisfazerem as exigências de alta velocidade e elevada qualidade em ambientes de impressão comercial, apresentando novas capacidades a diferentes setores, incluindo os da etiquetagem, publicações e impressão de segurança, transacional, conversão de embalagens, cartões plastificados, bilhetes, jogos de cartas e formulários, bem como os setores de publicidade endereçada e serviços postais.</w:t>
      </w:r>
      <w:r>
        <w:rPr>
          <w:rFonts w:ascii="Noto Sans" w:eastAsia="Gill Sans" w:hAnsi="Noto Sans" w:cs="Noto Sans"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FC465F">
        <w:rPr>
          <w:rFonts w:ascii="Noto Sans" w:eastAsia="Gill Sans" w:hAnsi="Noto Sans" w:cs="Noto Sans"/>
          <w:szCs w:val="18"/>
          <w:lang w:val="pt-BR"/>
        </w:rPr>
        <w:t>A Domino emprega mais de 3000 pessoas em todo mundo e comercializa para mais de 120 países através de uma rede global de 29 filiais e mais de 200 distribuidores. As instalações de fabrico da Domino estão localizadas na Alemanha, China, EUA, Índia, Reino Unido, Suécia e Suíça. A Domino tornou-se uma divisão independente da Brother Industries Ltd. a 11 de junho de 2015.</w:t>
      </w:r>
      <w:r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Pr="00AB22C5">
        <w:rPr>
          <w:rFonts w:ascii="Noto Sans" w:eastAsia="Gill Sans" w:hAnsi="Noto Sans" w:cs="Noto Sans"/>
          <w:szCs w:val="18"/>
          <w:lang w:val="pt-PT"/>
        </w:rPr>
        <w:t xml:space="preserve">Para obter mais informações sobre a Domino, visite </w:t>
      </w:r>
      <w:hyperlink r:id="rId9" w:history="1">
        <w:r w:rsidRPr="00AB22C5">
          <w:rPr>
            <w:rStyle w:val="Hyperlink"/>
            <w:rFonts w:ascii="Noto Sans" w:eastAsia="Gill Sans" w:hAnsi="Noto Sans" w:cs="Noto Sans"/>
            <w:szCs w:val="18"/>
            <w:lang w:val="pt-PT"/>
          </w:rPr>
          <w:t>www.domino-printing.pt</w:t>
        </w:r>
      </w:hyperlink>
      <w:r w:rsidRPr="00AB22C5">
        <w:rPr>
          <w:rFonts w:ascii="Noto Sans" w:eastAsia="Gill Sans" w:hAnsi="Noto Sans" w:cs="Noto Sans"/>
          <w:szCs w:val="18"/>
          <w:lang w:val="pt-PT"/>
        </w:rPr>
        <w:t xml:space="preserve"> </w:t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Pr="00AB22C5">
        <w:rPr>
          <w:rFonts w:ascii="Noto Sans" w:eastAsia="Gill Sans" w:hAnsi="Noto Sans" w:cs="Noto Sans"/>
          <w:b/>
          <w:bCs/>
          <w:szCs w:val="18"/>
          <w:lang w:val="pt-PT"/>
        </w:rPr>
        <w:t>Para obter mais informações, contacte:</w:t>
      </w:r>
      <w:r>
        <w:rPr>
          <w:rFonts w:ascii="Noto Sans" w:eastAsia="Gill Sans" w:hAnsi="Noto Sans" w:cs="Noto Sans"/>
          <w:b/>
          <w:bCs/>
          <w:szCs w:val="18"/>
          <w:lang w:val="pt-PT"/>
        </w:rPr>
        <w:br/>
      </w:r>
      <w:r>
        <w:rPr>
          <w:rFonts w:ascii="Noto Sans" w:eastAsia="Gill Sans" w:hAnsi="Noto Sans" w:cs="Noto Sans"/>
          <w:b/>
          <w:bCs/>
          <w:szCs w:val="18"/>
          <w:lang w:val="pt-PT"/>
        </w:rPr>
        <w:br/>
      </w:r>
      <w:bookmarkEnd w:id="3"/>
      <w:r w:rsidRPr="00FC465F">
        <w:rPr>
          <w:rFonts w:ascii="Noto Sans" w:hAnsi="Noto Sans" w:cs="Noto Sans"/>
          <w:szCs w:val="18"/>
          <w:lang w:val="pt-BR"/>
        </w:rPr>
        <w:t>Kathrin Farr</w:t>
      </w:r>
      <w:r w:rsidRPr="00FC465F">
        <w:rPr>
          <w:rFonts w:ascii="Noto Sans" w:hAnsi="Noto Sans" w:cs="Noto Sans"/>
          <w:szCs w:val="18"/>
          <w:lang w:val="pt-BR"/>
        </w:rPr>
        <w:br/>
        <w:t>Content Executive (Digital Printing)</w:t>
      </w:r>
      <w:r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Pr="00FC465F">
        <w:rPr>
          <w:rFonts w:ascii="Noto Sans" w:hAnsi="Noto Sans" w:cs="Noto Sans"/>
          <w:szCs w:val="18"/>
          <w:lang w:val="pt-BR"/>
        </w:rPr>
        <w:br/>
        <w:t xml:space="preserve">Tel. : +44 (0) </w:t>
      </w:r>
      <w:hyperlink r:id="rId10" w:history="1">
        <w:r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Pr="00FC465F">
        <w:rPr>
          <w:rFonts w:ascii="Noto Sans" w:hAnsi="Noto Sans" w:cs="Noto Sans"/>
          <w:szCs w:val="18"/>
          <w:lang w:val="pt-BR"/>
        </w:rPr>
        <w:br/>
      </w:r>
      <w:hyperlink r:id="rId11" w:history="1">
        <w:r w:rsidRPr="00FC465F">
          <w:rPr>
            <w:rStyle w:val="Hyperlink"/>
            <w:rFonts w:ascii="Noto Sans" w:hAnsi="Noto Sans" w:cs="Noto Sans"/>
            <w:szCs w:val="18"/>
            <w:lang w:val="pt-BR"/>
          </w:rPr>
          <w:t>Kathrin.Farr@domino-uk.com</w:t>
        </w:r>
      </w:hyperlink>
      <w:r w:rsidRPr="00FC465F">
        <w:rPr>
          <w:rFonts w:ascii="Noto Sans" w:hAnsi="Noto Sans" w:cs="Noto Sans"/>
          <w:szCs w:val="18"/>
          <w:lang w:val="pt-BR"/>
        </w:rPr>
        <w:t xml:space="preserve"> </w:t>
      </w:r>
      <w:r w:rsidRPr="00FC465F">
        <w:rPr>
          <w:rFonts w:ascii="Noto Sans" w:hAnsi="Noto Sans" w:cs="Noto Sans"/>
          <w:szCs w:val="18"/>
          <w:lang w:val="pt-BR"/>
        </w:rPr>
        <w:br/>
      </w:r>
      <w:r w:rsidRPr="00FC465F">
        <w:rPr>
          <w:rFonts w:ascii="Noto Sans" w:hAnsi="Noto Sans" w:cs="Noto Sans"/>
          <w:szCs w:val="18"/>
          <w:lang w:val="pt-BR"/>
        </w:rPr>
        <w:br/>
      </w:r>
      <w:r w:rsidR="000220DA">
        <w:rPr>
          <w:rFonts w:ascii="Noto Sans" w:hAnsi="Noto Sans" w:cs="Noto Sans"/>
          <w:szCs w:val="18"/>
          <w:lang w:val="pt-BR"/>
        </w:rPr>
        <w:t>Alex Challinor</w:t>
      </w:r>
      <w:r w:rsidRPr="00FC465F">
        <w:rPr>
          <w:rFonts w:ascii="Noto Sans" w:hAnsi="Noto Sans" w:cs="Noto Sans"/>
          <w:szCs w:val="18"/>
          <w:lang w:val="pt-BR"/>
        </w:rPr>
        <w:t xml:space="preserve"> </w:t>
      </w:r>
      <w:r w:rsidRPr="00FC465F">
        <w:rPr>
          <w:rFonts w:ascii="Noto Sans" w:hAnsi="Noto Sans" w:cs="Noto Sans"/>
          <w:szCs w:val="18"/>
          <w:lang w:val="pt-BR"/>
        </w:rPr>
        <w:br/>
        <w:t xml:space="preserve">PR and Content Manager </w:t>
      </w:r>
      <w:r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Pr="00FC465F">
        <w:rPr>
          <w:rFonts w:ascii="Noto Sans" w:hAnsi="Noto Sans" w:cs="Noto Sans"/>
          <w:szCs w:val="18"/>
          <w:lang w:val="pt-BR"/>
        </w:rPr>
        <w:br/>
      </w:r>
      <w:r w:rsidR="000220DA" w:rsidRPr="00FC465F">
        <w:rPr>
          <w:rFonts w:ascii="Noto Sans" w:hAnsi="Noto Sans" w:cs="Noto Sans"/>
          <w:szCs w:val="18"/>
          <w:lang w:val="pt-BR"/>
        </w:rPr>
        <w:t xml:space="preserve">Tel. : +44 (0) </w:t>
      </w:r>
      <w:hyperlink r:id="rId12" w:history="1">
        <w:r w:rsidR="000220DA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Pr="00FC465F">
        <w:rPr>
          <w:rFonts w:ascii="Noto Sans" w:hAnsi="Noto Sans" w:cs="Noto Sans"/>
          <w:szCs w:val="18"/>
          <w:lang w:val="pt-BR"/>
        </w:rPr>
        <w:br/>
      </w:r>
      <w:hyperlink r:id="rId13" w:history="1">
        <w:r w:rsidR="000220DA" w:rsidRPr="008E5CFD">
          <w:rPr>
            <w:rStyle w:val="Hyperlink"/>
            <w:rFonts w:ascii="Noto Sans" w:hAnsi="Noto Sans" w:cs="Noto Sans"/>
            <w:szCs w:val="18"/>
            <w:lang w:val="pt-BR"/>
          </w:rPr>
          <w:t>Alex.Challinor@domino-uk.com</w:t>
        </w:r>
      </w:hyperlink>
      <w:r w:rsidRPr="00FC465F">
        <w:rPr>
          <w:rFonts w:ascii="Noto Sans" w:hAnsi="Noto Sans" w:cs="Noto Sans"/>
          <w:szCs w:val="18"/>
          <w:lang w:val="pt-BR"/>
        </w:rPr>
        <w:t xml:space="preserve"> </w:t>
      </w:r>
      <w:r w:rsidRPr="00FC465F">
        <w:rPr>
          <w:rFonts w:ascii="Noto Sans" w:hAnsi="Noto Sans" w:cs="Noto Sans"/>
          <w:szCs w:val="18"/>
          <w:lang w:val="pt-BR"/>
        </w:rPr>
        <w:br/>
      </w:r>
    </w:p>
    <w:sectPr w:rsidR="006C6C7C" w:rsidRPr="00FC465F" w:rsidSect="000F6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CEFB" w14:textId="77777777" w:rsidR="00062E86" w:rsidRDefault="00062E86" w:rsidP="00785717">
      <w:pPr>
        <w:spacing w:line="240" w:lineRule="auto"/>
      </w:pPr>
      <w:r>
        <w:separator/>
      </w:r>
    </w:p>
  </w:endnote>
  <w:endnote w:type="continuationSeparator" w:id="0">
    <w:p w14:paraId="22E08126" w14:textId="77777777" w:rsidR="00062E86" w:rsidRDefault="00062E86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"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3CA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2678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C21E0" wp14:editId="562C3EA1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7A6B7F6D" wp14:editId="090469BE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63D8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1CB7" w14:textId="77777777" w:rsidR="00062E86" w:rsidRDefault="00062E86" w:rsidP="00785717">
      <w:pPr>
        <w:spacing w:line="240" w:lineRule="auto"/>
      </w:pPr>
      <w:r>
        <w:separator/>
      </w:r>
    </w:p>
  </w:footnote>
  <w:footnote w:type="continuationSeparator" w:id="0">
    <w:p w14:paraId="61872927" w14:textId="77777777" w:rsidR="00062E86" w:rsidRDefault="00062E86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F32C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D58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046442" wp14:editId="3586F545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A8D0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86"/>
    <w:rsid w:val="0002201E"/>
    <w:rsid w:val="000220DA"/>
    <w:rsid w:val="00062E86"/>
    <w:rsid w:val="000E0D0D"/>
    <w:rsid w:val="000F6D00"/>
    <w:rsid w:val="001D743C"/>
    <w:rsid w:val="002202E3"/>
    <w:rsid w:val="00240801"/>
    <w:rsid w:val="002766D9"/>
    <w:rsid w:val="00372E92"/>
    <w:rsid w:val="003C7663"/>
    <w:rsid w:val="004C6703"/>
    <w:rsid w:val="005272B1"/>
    <w:rsid w:val="005524DB"/>
    <w:rsid w:val="005741C7"/>
    <w:rsid w:val="00581FEB"/>
    <w:rsid w:val="005E6C45"/>
    <w:rsid w:val="00647055"/>
    <w:rsid w:val="00660F46"/>
    <w:rsid w:val="006C6C7C"/>
    <w:rsid w:val="00711C67"/>
    <w:rsid w:val="00785717"/>
    <w:rsid w:val="00791A4F"/>
    <w:rsid w:val="007D2B85"/>
    <w:rsid w:val="008220B7"/>
    <w:rsid w:val="00823B77"/>
    <w:rsid w:val="008916A8"/>
    <w:rsid w:val="008B6461"/>
    <w:rsid w:val="008E5E0C"/>
    <w:rsid w:val="008F3E38"/>
    <w:rsid w:val="00931996"/>
    <w:rsid w:val="009A1716"/>
    <w:rsid w:val="009A1DEC"/>
    <w:rsid w:val="009D6280"/>
    <w:rsid w:val="009E5D98"/>
    <w:rsid w:val="00A34918"/>
    <w:rsid w:val="00AB11DA"/>
    <w:rsid w:val="00B23C3C"/>
    <w:rsid w:val="00B546C5"/>
    <w:rsid w:val="00B86660"/>
    <w:rsid w:val="00BC7C15"/>
    <w:rsid w:val="00BD07B6"/>
    <w:rsid w:val="00C03CCC"/>
    <w:rsid w:val="00C063FE"/>
    <w:rsid w:val="00C44603"/>
    <w:rsid w:val="00C541FE"/>
    <w:rsid w:val="00CF1AD5"/>
    <w:rsid w:val="00D66051"/>
    <w:rsid w:val="00DF393E"/>
    <w:rsid w:val="00E03029"/>
    <w:rsid w:val="00EC1C5A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5A8D"/>
  <w15:chartTrackingRefBased/>
  <w15:docId w15:val="{58F5E143-8DD1-4FAF-B3B6-21808EB0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7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ino-printing.com/pt/products/digital-printing-products/digital-printing-products.aspx?utm_medium=non-paid&amp;utm_source=onlinepublication&amp;utm_content=pr-dp-ai&amp;utm_campaign=2025-int-pt-Global-PR-DP-FY25-Q4" TargetMode="External"/><Relationship Id="rId13" Type="http://schemas.openxmlformats.org/officeDocument/2006/relationships/hyperlink" Target="mailto:Alex.Challinor@domino-uk.com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domino-printing.com/en-gb/products/controllers/sunrise-dfe?utm_medium=non-paid&amp;utm_source=onlinepublication&amp;utm_content=pr-dp-ai&amp;utm_campaign=2025-int-pt-Global-PR-DP-FY25-Q4" TargetMode="External"/><Relationship Id="rId12" Type="http://schemas.openxmlformats.org/officeDocument/2006/relationships/hyperlink" Target="tel:+44%20(0)1954%20782%20551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rinting.org/docs/default-source/academy-docs/2025_ai_adoption_in_the_print_industry_final-update.pdf?sfvrsn=b1ba96ac_1" TargetMode="External"/><Relationship Id="rId11" Type="http://schemas.openxmlformats.org/officeDocument/2006/relationships/hyperlink" Target="mailto:Kathrin.Farr@domino-uk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tel:+44%20(0)1954%20782%20551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domino-printing.p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Farr</dc:creator>
  <cp:keywords/>
  <dc:description/>
  <cp:lastModifiedBy>Kathrin Farr</cp:lastModifiedBy>
  <cp:revision>3</cp:revision>
  <dcterms:created xsi:type="dcterms:W3CDTF">2026-03-19T16:03:00Z</dcterms:created>
  <dcterms:modified xsi:type="dcterms:W3CDTF">2026-03-19T16:04:00Z</dcterms:modified>
</cp:coreProperties>
</file>