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059C9" w:rsidRDefault="009059C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p w14:paraId="00000002" w14:textId="77777777" w:rsidR="009059C9" w:rsidRDefault="00000000">
      <w:pPr>
        <w:pStyle w:val="Nagwek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Biurowiec LIXA D od </w:t>
      </w:r>
      <w:proofErr w:type="spellStart"/>
      <w:r>
        <w:rPr>
          <w:rFonts w:ascii="Google Sans" w:eastAsia="Google Sans" w:hAnsi="Google Sans" w:cs="Google Sans"/>
          <w:color w:val="1F1F1F"/>
        </w:rPr>
        <w:t>Yareal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z nowym właścicielem. Budynek został kupiony przez Family Office ze Szwajcarii. </w:t>
      </w:r>
    </w:p>
    <w:p w14:paraId="00000003" w14:textId="77777777" w:rsidR="009059C9" w:rsidRDefault="009059C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p w14:paraId="00000004" w14:textId="77777777" w:rsidR="009059C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b/>
          <w:bCs/>
          <w:color w:val="1F1F1F"/>
          <w:sz w:val="28"/>
          <w:szCs w:val="28"/>
          <w:highlight w:val="yellow"/>
        </w:rPr>
      </w:pPr>
      <w:r>
        <w:rPr>
          <w:b/>
          <w:bCs/>
          <w:color w:val="1F1F1F"/>
          <w:sz w:val="28"/>
          <w:szCs w:val="28"/>
        </w:rPr>
        <w:t xml:space="preserve">WARSZAWA, 23  marca 2026 r. – Na warszawskim rynku inwestycyjnym sfinalizowano ważną transakcję w sektorze biurowym. Szwajcarski fundusz rodzinny, reprezentowany przez OPG </w:t>
      </w:r>
      <w:proofErr w:type="spellStart"/>
      <w:r>
        <w:rPr>
          <w:b/>
          <w:bCs/>
          <w:color w:val="1F1F1F"/>
          <w:sz w:val="28"/>
          <w:szCs w:val="28"/>
        </w:rPr>
        <w:t>Property</w:t>
      </w:r>
      <w:proofErr w:type="spellEnd"/>
      <w:r>
        <w:rPr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b/>
          <w:bCs/>
          <w:color w:val="1F1F1F"/>
          <w:sz w:val="28"/>
          <w:szCs w:val="28"/>
        </w:rPr>
        <w:t>Professionals</w:t>
      </w:r>
      <w:proofErr w:type="spellEnd"/>
      <w:r>
        <w:rPr>
          <w:b/>
          <w:bCs/>
          <w:color w:val="1F1F1F"/>
          <w:sz w:val="28"/>
          <w:szCs w:val="28"/>
        </w:rPr>
        <w:t xml:space="preserve">, nabył od dewelopera </w:t>
      </w:r>
      <w:proofErr w:type="spellStart"/>
      <w:r>
        <w:rPr>
          <w:b/>
          <w:bCs/>
          <w:color w:val="1F1F1F"/>
          <w:sz w:val="28"/>
          <w:szCs w:val="28"/>
        </w:rPr>
        <w:t>Yareal</w:t>
      </w:r>
      <w:proofErr w:type="spellEnd"/>
      <w:r>
        <w:rPr>
          <w:b/>
          <w:bCs/>
          <w:color w:val="1F1F1F"/>
          <w:sz w:val="28"/>
          <w:szCs w:val="28"/>
        </w:rPr>
        <w:t xml:space="preserve"> budynek biurowy LIXA D. </w:t>
      </w:r>
      <w:r>
        <w:rPr>
          <w:b/>
          <w:bCs/>
          <w:color w:val="1F1F1F"/>
          <w:sz w:val="28"/>
          <w:szCs w:val="28"/>
          <w:highlight w:val="white"/>
        </w:rPr>
        <w:t xml:space="preserve">Kupującemu doradzała kancelaria prawna MJH Moskwa, </w:t>
      </w:r>
      <w:proofErr w:type="spellStart"/>
      <w:r>
        <w:rPr>
          <w:b/>
          <w:bCs/>
          <w:color w:val="1F1F1F"/>
          <w:sz w:val="28"/>
          <w:szCs w:val="28"/>
          <w:highlight w:val="white"/>
        </w:rPr>
        <w:t>Jarmul</w:t>
      </w:r>
      <w:proofErr w:type="spellEnd"/>
      <w:r>
        <w:rPr>
          <w:b/>
          <w:bCs/>
          <w:color w:val="1F1F1F"/>
          <w:sz w:val="28"/>
          <w:szCs w:val="28"/>
          <w:highlight w:val="white"/>
        </w:rPr>
        <w:t xml:space="preserve">, </w:t>
      </w:r>
      <w:proofErr w:type="spellStart"/>
      <w:r>
        <w:rPr>
          <w:b/>
          <w:bCs/>
          <w:color w:val="1F1F1F"/>
          <w:sz w:val="28"/>
          <w:szCs w:val="28"/>
          <w:highlight w:val="white"/>
        </w:rPr>
        <w:t>Haładyj</w:t>
      </w:r>
      <w:proofErr w:type="spellEnd"/>
      <w:r>
        <w:rPr>
          <w:b/>
          <w:bCs/>
          <w:color w:val="1F1F1F"/>
          <w:sz w:val="28"/>
          <w:szCs w:val="28"/>
          <w:highlight w:val="white"/>
        </w:rPr>
        <w:t xml:space="preserve"> i Partnerzy oraz doradztwo podatkowe KODA </w:t>
      </w:r>
      <w:proofErr w:type="spellStart"/>
      <w:r>
        <w:rPr>
          <w:b/>
          <w:bCs/>
          <w:color w:val="1F1F1F"/>
          <w:sz w:val="28"/>
          <w:szCs w:val="28"/>
          <w:highlight w:val="white"/>
        </w:rPr>
        <w:t>Advisory</w:t>
      </w:r>
      <w:proofErr w:type="spellEnd"/>
      <w:r>
        <w:rPr>
          <w:b/>
          <w:bCs/>
          <w:color w:val="1F1F1F"/>
          <w:sz w:val="28"/>
          <w:szCs w:val="28"/>
          <w:highlight w:val="white"/>
        </w:rPr>
        <w:t xml:space="preserve">. </w:t>
      </w:r>
    </w:p>
    <w:p w14:paraId="00000005" w14:textId="77777777" w:rsidR="009059C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  <w:sz w:val="24"/>
          <w:szCs w:val="24"/>
        </w:rPr>
      </w:pP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Obiekt zlokalizowany przy ul. Giełdowej 5, w samym sercu biznesowego centrum stolicy, oferuje standard klasy A. LIXA D, oddana do użytku w 2024 roku, dysponuje ponad 10 300 mkw. nowoczesnej powierzchni najmu brutto (GLA). Budynek stanowi integralną część flagowego kompleksu LIXA realizowanego przez </w:t>
      </w:r>
      <w:proofErr w:type="spellStart"/>
      <w:r>
        <w:rPr>
          <w:rFonts w:ascii="Google Sans" w:eastAsia="Google Sans" w:hAnsi="Google Sans" w:cs="Google Sans"/>
          <w:color w:val="1F1F1F"/>
          <w:sz w:val="24"/>
          <w:szCs w:val="24"/>
        </w:rPr>
        <w:t>Yareal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na bliskiej Woli. Inwestycję wyróżnia nie tylko nowoczesna architektura i liczne tereny zielone, ale także starannie dobrany </w:t>
      </w:r>
      <w:proofErr w:type="spellStart"/>
      <w:r>
        <w:rPr>
          <w:rFonts w:ascii="Google Sans" w:eastAsia="Google Sans" w:hAnsi="Google Sans" w:cs="Google Sans"/>
          <w:color w:val="1F1F1F"/>
          <w:sz w:val="24"/>
          <w:szCs w:val="24"/>
        </w:rPr>
        <w:t>miks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najemców.</w:t>
      </w:r>
    </w:p>
    <w:p w14:paraId="00000006" w14:textId="77777777" w:rsidR="009059C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</w:pP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„Sprzedaż budynku LIXA D to kolejny sukces naszej firmy w obecnym, wymagającym otoczeniu rynkowym. Wysokiej jakości projekty, realizowane z zachowaniem najwyższych standardów i zasad zrównoważonego rozwoju, niezmiennie potwierdzają swoją wartość i przyciągają prestiżowych inwestorów. Cieszymy się, że obiekt z tak doskonałym portfelem najemców trafia w ręce tak uznanego nabywcy” –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komentuje Jacek Zengteler, Prezes Zarządu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Yareal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Polska.</w:t>
      </w:r>
    </w:p>
    <w:p w14:paraId="00000008" w14:textId="2A60675B" w:rsidR="009059C9" w:rsidRDefault="00000000" w:rsidP="000A2124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" w:eastAsia="Google Sans" w:hAnsi="Google Sans" w:cs="Google Sans"/>
          <w:color w:val="1F1F1F"/>
          <w:sz w:val="24"/>
          <w:szCs w:val="24"/>
        </w:rPr>
      </w:pP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O sukcesie komercjalizacji budynku świadczy lista renomowanych najemców, obejmująca innowacyjne marki, takie jak: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Match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-Trade Technologies, SPORTRADAR,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Exact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Sciences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Poland oraz FINMEDICA.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Funkcję biurową uzupełnia bogata oferta handlowo-usługowa i gastronomiczna (m.in. koncepty RICO, </w:t>
      </w:r>
      <w:proofErr w:type="spellStart"/>
      <w:r>
        <w:rPr>
          <w:rFonts w:ascii="Google Sans" w:eastAsia="Google Sans" w:hAnsi="Google Sans" w:cs="Google Sans"/>
          <w:color w:val="1F1F1F"/>
          <w:sz w:val="24"/>
          <w:szCs w:val="24"/>
        </w:rPr>
        <w:t>Batida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oraz </w:t>
      </w:r>
      <w:proofErr w:type="spellStart"/>
      <w:r>
        <w:rPr>
          <w:rFonts w:ascii="Google Sans" w:eastAsia="Google Sans" w:hAnsi="Google Sans" w:cs="Google Sans"/>
          <w:color w:val="1F1F1F"/>
          <w:sz w:val="24"/>
          <w:szCs w:val="24"/>
        </w:rPr>
        <w:t>Ramenownia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>), która współtworzy tętniącą życiem przestrzeń miejską wewnątrz kompleksu.</w:t>
      </w:r>
    </w:p>
    <w:p w14:paraId="0000000A" w14:textId="58E93C89" w:rsidR="009059C9" w:rsidRDefault="00000000" w:rsidP="00FC32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</w:pP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„Transakcja nabycia LIXA D jest sygnałem rosnącej aktywności europejskich inwestorów typu Family Office, zainteresowanych nowoczesnymi 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lastRenderedPageBreak/>
        <w:t xml:space="preserve">budynkami  biurowymi klasy A w topowych lokalizacjach. Wysoki standard w połączeniu z długoterminowymi umowami najmu sprawia, że jest to  jeden z najatrakcyjniejszych aktywów na warszawskim rynku. LIXA D  skutecznie przyciągnął uwagę nowych inwestorów, którzy wchodzą do Polski właśnie poprzez tę akwizycję” –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podkreśla Michał Styś (reprezentujący OPG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Property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Professionals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).</w:t>
      </w:r>
    </w:p>
    <w:p w14:paraId="0000000B" w14:textId="77777777" w:rsidR="009059C9" w:rsidRDefault="00000000">
      <w:pPr>
        <w:pStyle w:val="Nagwek3"/>
        <w:spacing w:after="120" w:line="275" w:lineRule="auto"/>
        <w:rPr>
          <w:rFonts w:ascii="Google Sans" w:eastAsia="Google Sans" w:hAnsi="Google Sans" w:cs="Google Sans"/>
          <w:color w:val="1F1F1F"/>
          <w:sz w:val="30"/>
          <w:szCs w:val="30"/>
        </w:rPr>
      </w:pPr>
      <w:r>
        <w:rPr>
          <w:rFonts w:ascii="Google Sans" w:eastAsia="Google Sans" w:hAnsi="Google Sans" w:cs="Google Sans"/>
          <w:color w:val="1F1F1F"/>
          <w:sz w:val="30"/>
          <w:szCs w:val="30"/>
        </w:rPr>
        <w:t>Doradcy zaangażowani w transakcję:</w:t>
      </w:r>
    </w:p>
    <w:p w14:paraId="0000000C" w14:textId="77777777" w:rsidR="009059C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" w:eastAsia="Google Sans" w:hAnsi="Google Sans" w:cs="Google Sans"/>
          <w:color w:val="1F1F1F"/>
          <w:sz w:val="24"/>
          <w:szCs w:val="24"/>
        </w:rPr>
      </w:pPr>
      <w:r>
        <w:rPr>
          <w:rFonts w:ascii="Google Sans" w:eastAsia="Google Sans" w:hAnsi="Google Sans" w:cs="Google Sans"/>
          <w:color w:val="1F1F1F"/>
          <w:sz w:val="24"/>
          <w:szCs w:val="24"/>
        </w:rPr>
        <w:t>W procesie sprzedaży i zakupu stronom doradzały wyspecjalizowane podmioty:</w:t>
      </w:r>
    </w:p>
    <w:p w14:paraId="0000000D" w14:textId="77777777" w:rsidR="009059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sz w:val="24"/>
          <w:szCs w:val="24"/>
        </w:rPr>
      </w:pP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Po stronie sprzedającego (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Yareal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):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Eksperci z firmy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CBRE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- zespół pod kierownictwem Przemysława Łachmaniuka, 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Gide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Loyrette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Nouel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(doradztwo prawne) oraz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MDDP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(doradztwo podatkowe).</w:t>
      </w:r>
      <w:r>
        <w:rPr>
          <w:color w:val="000000"/>
          <w:sz w:val="24"/>
          <w:szCs w:val="24"/>
        </w:rPr>
        <w:br/>
      </w:r>
    </w:p>
    <w:p w14:paraId="0000000E" w14:textId="77777777" w:rsidR="009059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sz w:val="24"/>
          <w:szCs w:val="24"/>
        </w:rPr>
      </w:pP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Po stronie kupującego (Swiss Family Office):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OPG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Property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Professionals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- zespół pod kierownictwem Michała </w:t>
      </w:r>
      <w:proofErr w:type="spellStart"/>
      <w:r>
        <w:rPr>
          <w:rFonts w:ascii="Google Sans" w:eastAsia="Google Sans" w:hAnsi="Google Sans" w:cs="Google Sans"/>
          <w:color w:val="1F1F1F"/>
          <w:sz w:val="24"/>
          <w:szCs w:val="24"/>
        </w:rPr>
        <w:t>Stysia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(doradztwo strategiczne, transakcyjne i operacyjne), kancelaria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MJH Moskwa,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Jarmul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,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Haładyj</w:t>
      </w:r>
      <w:proofErr w:type="spellEnd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 i Partnerzy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- </w:t>
      </w:r>
      <w:r w:rsidRPr="00FC3216">
        <w:rPr>
          <w:rFonts w:ascii="Google Sans" w:eastAsia="Google Sans" w:hAnsi="Google Sans" w:cs="Google Sans"/>
          <w:color w:val="1F1F1F"/>
          <w:sz w:val="24"/>
          <w:szCs w:val="24"/>
        </w:rPr>
        <w:t xml:space="preserve">Katarzyna </w:t>
      </w:r>
      <w:proofErr w:type="spellStart"/>
      <w:r w:rsidRPr="00FC3216">
        <w:rPr>
          <w:rFonts w:ascii="Google Sans" w:eastAsia="Google Sans" w:hAnsi="Google Sans" w:cs="Google Sans"/>
          <w:color w:val="1F1F1F"/>
          <w:sz w:val="24"/>
          <w:szCs w:val="24"/>
        </w:rPr>
        <w:t>Czwartosz</w:t>
      </w:r>
      <w:proofErr w:type="spellEnd"/>
      <w:r w:rsidRPr="00FC3216">
        <w:rPr>
          <w:rFonts w:ascii="Google Sans" w:eastAsia="Google Sans" w:hAnsi="Google Sans" w:cs="Google Sans"/>
          <w:color w:val="1F1F1F"/>
          <w:sz w:val="24"/>
          <w:szCs w:val="24"/>
        </w:rPr>
        <w:t>-Liber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(doradztwo prawne) oraz </w:t>
      </w:r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 xml:space="preserve">KODA </w:t>
      </w:r>
      <w:proofErr w:type="spellStart"/>
      <w:r>
        <w:rPr>
          <w:rFonts w:ascii="Google Sans" w:eastAsia="Google Sans" w:hAnsi="Google Sans" w:cs="Google Sans"/>
          <w:b/>
          <w:bCs/>
          <w:color w:val="1F1F1F"/>
          <w:sz w:val="24"/>
          <w:szCs w:val="24"/>
        </w:rPr>
        <w:t>Advisory</w:t>
      </w:r>
      <w:proofErr w:type="spellEnd"/>
      <w:r>
        <w:rPr>
          <w:rFonts w:ascii="Google Sans" w:eastAsia="Google Sans" w:hAnsi="Google Sans" w:cs="Google Sans"/>
          <w:color w:val="1F1F1F"/>
          <w:sz w:val="24"/>
          <w:szCs w:val="24"/>
        </w:rPr>
        <w:t xml:space="preserve"> - </w:t>
      </w:r>
      <w:r w:rsidRPr="00FC3216">
        <w:rPr>
          <w:rFonts w:ascii="Google Sans" w:eastAsia="Google Sans" w:hAnsi="Google Sans" w:cs="Google Sans"/>
          <w:color w:val="1F1F1F"/>
          <w:sz w:val="24"/>
          <w:szCs w:val="24"/>
        </w:rPr>
        <w:t xml:space="preserve">Małgorzata Dankowska, Ewa </w:t>
      </w:r>
      <w:proofErr w:type="spellStart"/>
      <w:r w:rsidRPr="00FC3216">
        <w:rPr>
          <w:rFonts w:ascii="Google Sans" w:eastAsia="Google Sans" w:hAnsi="Google Sans" w:cs="Google Sans"/>
          <w:color w:val="1F1F1F"/>
          <w:sz w:val="24"/>
          <w:szCs w:val="24"/>
        </w:rPr>
        <w:t>Banasza</w:t>
      </w:r>
      <w:proofErr w:type="spellEnd"/>
      <w:r w:rsidRPr="00FC3216">
        <w:rPr>
          <w:rFonts w:ascii="Google Sans" w:eastAsia="Google Sans" w:hAnsi="Google Sans" w:cs="Google Sans"/>
          <w:color w:val="1F1F1F"/>
          <w:sz w:val="24"/>
          <w:szCs w:val="24"/>
        </w:rPr>
        <w:t xml:space="preserve"> (</w:t>
      </w:r>
      <w:r>
        <w:rPr>
          <w:rFonts w:ascii="Google Sans" w:eastAsia="Google Sans" w:hAnsi="Google Sans" w:cs="Google Sans"/>
          <w:color w:val="1F1F1F"/>
          <w:sz w:val="24"/>
          <w:szCs w:val="24"/>
        </w:rPr>
        <w:t>doradztwo podatkowe).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sectPr w:rsidR="009059C9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45EE011-D22D-4C56-B298-70686E950011}"/>
  </w:font>
  <w:font w:name="Google Sans">
    <w:charset w:val="00"/>
    <w:family w:val="auto"/>
    <w:pitch w:val="default"/>
    <w:embedRegular r:id="rId2" w:fontKey="{CE8C9D7A-40E0-423A-9DB9-DF73EE2DBCAF}"/>
    <w:embedBold r:id="rId3" w:fontKey="{330AF1F7-9E8A-4DB5-ADA8-AF11AF68C1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C6079DC-3382-40A3-B41A-469659AFF43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426FFC0-02B0-4CCA-BD7D-7EBC56171E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44219"/>
    <w:multiLevelType w:val="multilevel"/>
    <w:tmpl w:val="D05004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08079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9C9"/>
    <w:rsid w:val="000A2124"/>
    <w:rsid w:val="004C2512"/>
    <w:rsid w:val="007414B1"/>
    <w:rsid w:val="009059C9"/>
    <w:rsid w:val="00C64CC9"/>
    <w:rsid w:val="00FC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3A727"/>
  <w15:docId w15:val="{904FF860-1F5D-8E4C-B055-BAA76DE45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414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Link Leaders</cp:lastModifiedBy>
  <cp:revision>3</cp:revision>
  <dcterms:created xsi:type="dcterms:W3CDTF">2026-03-22T17:44:00Z</dcterms:created>
  <dcterms:modified xsi:type="dcterms:W3CDTF">2026-03-23T09:54:00Z</dcterms:modified>
</cp:coreProperties>
</file>