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E7D828" w14:textId="77777777" w:rsidR="004F0580" w:rsidRDefault="004F0580" w:rsidP="004F0580">
      <w:pPr>
        <w:rPr>
          <w:rFonts w:ascii="Inter" w:eastAsia="Inter" w:hAnsi="Inter" w:cs="Inter"/>
          <w:b/>
          <w:bCs/>
          <w:sz w:val="30"/>
          <w:szCs w:val="30"/>
        </w:rPr>
      </w:pPr>
    </w:p>
    <w:p w14:paraId="460946AA" w14:textId="77777777" w:rsidR="004A168F" w:rsidRPr="00E75261" w:rsidRDefault="004A168F" w:rsidP="004A168F">
      <w:pPr>
        <w:jc w:val="center"/>
        <w:rPr>
          <w:rFonts w:eastAsia="Inter"/>
          <w:b/>
          <w:bCs/>
          <w:sz w:val="30"/>
          <w:szCs w:val="30"/>
          <w:lang w:val="en-US"/>
        </w:rPr>
      </w:pPr>
      <w:proofErr w:type="spellStart"/>
      <w:r w:rsidRPr="00E75261">
        <w:rPr>
          <w:rFonts w:eastAsia="Inter"/>
          <w:b/>
          <w:bCs/>
          <w:sz w:val="30"/>
          <w:szCs w:val="30"/>
          <w:lang w:val="en-US"/>
        </w:rPr>
        <w:t>Bybit</w:t>
      </w:r>
      <w:proofErr w:type="spellEnd"/>
      <w:r w:rsidRPr="00E75261">
        <w:rPr>
          <w:rFonts w:eastAsia="Inter"/>
          <w:b/>
          <w:bCs/>
          <w:sz w:val="30"/>
          <w:szCs w:val="30"/>
          <w:lang w:val="en-US"/>
        </w:rPr>
        <w:t xml:space="preserve"> EU </w:t>
      </w:r>
      <w:proofErr w:type="spellStart"/>
      <w:r w:rsidRPr="00E75261">
        <w:rPr>
          <w:rFonts w:eastAsia="Inter"/>
          <w:b/>
          <w:bCs/>
          <w:sz w:val="30"/>
          <w:szCs w:val="30"/>
          <w:lang w:val="en-US"/>
        </w:rPr>
        <w:t>collabora</w:t>
      </w:r>
      <w:proofErr w:type="spellEnd"/>
      <w:r w:rsidRPr="00E75261">
        <w:rPr>
          <w:rFonts w:eastAsia="Inter"/>
          <w:b/>
          <w:bCs/>
          <w:sz w:val="30"/>
          <w:szCs w:val="30"/>
          <w:lang w:val="en-US"/>
        </w:rPr>
        <w:t xml:space="preserve"> con PayPal</w:t>
      </w:r>
    </w:p>
    <w:p w14:paraId="244522AE" w14:textId="5732A133" w:rsidR="004F0580" w:rsidRPr="00E75261" w:rsidRDefault="004A168F" w:rsidP="004A168F">
      <w:pPr>
        <w:jc w:val="center"/>
        <w:rPr>
          <w:rFonts w:eastAsia="Inter"/>
          <w:b/>
          <w:bCs/>
          <w:sz w:val="30"/>
          <w:szCs w:val="30"/>
          <w:lang w:val="en-US"/>
        </w:rPr>
      </w:pPr>
      <w:r w:rsidRPr="00E75261">
        <w:rPr>
          <w:rFonts w:eastAsia="Inter"/>
          <w:b/>
          <w:bCs/>
          <w:sz w:val="30"/>
          <w:szCs w:val="30"/>
          <w:lang w:val="en-US"/>
        </w:rPr>
        <w:t xml:space="preserve"> per </w:t>
      </w:r>
      <w:proofErr w:type="spellStart"/>
      <w:r w:rsidRPr="00E75261">
        <w:rPr>
          <w:rFonts w:eastAsia="Inter"/>
          <w:b/>
          <w:bCs/>
          <w:sz w:val="30"/>
          <w:szCs w:val="30"/>
          <w:lang w:val="en-US"/>
        </w:rPr>
        <w:t>semplificare</w:t>
      </w:r>
      <w:proofErr w:type="spellEnd"/>
      <w:r w:rsidRPr="00E75261">
        <w:rPr>
          <w:rFonts w:eastAsia="Inter"/>
          <w:b/>
          <w:bCs/>
          <w:sz w:val="30"/>
          <w:szCs w:val="30"/>
          <w:lang w:val="en-US"/>
        </w:rPr>
        <w:t xml:space="preserve"> i</w:t>
      </w:r>
      <w:r w:rsidR="008939B5" w:rsidRPr="00E75261">
        <w:rPr>
          <w:rFonts w:eastAsia="Inter"/>
          <w:b/>
          <w:bCs/>
          <w:sz w:val="30"/>
          <w:szCs w:val="30"/>
          <w:lang w:val="en-US"/>
        </w:rPr>
        <w:t>l</w:t>
      </w:r>
      <w:r w:rsidRPr="00E75261">
        <w:rPr>
          <w:rFonts w:eastAsia="Inter"/>
          <w:b/>
          <w:bCs/>
          <w:sz w:val="30"/>
          <w:szCs w:val="30"/>
          <w:lang w:val="en-US"/>
        </w:rPr>
        <w:t xml:space="preserve"> </w:t>
      </w:r>
      <w:proofErr w:type="spellStart"/>
      <w:r w:rsidR="008939B5" w:rsidRPr="00E75261">
        <w:rPr>
          <w:rFonts w:eastAsia="Inter"/>
          <w:b/>
          <w:bCs/>
          <w:sz w:val="30"/>
          <w:szCs w:val="30"/>
          <w:lang w:val="en-US"/>
        </w:rPr>
        <w:t>finanziamento</w:t>
      </w:r>
      <w:proofErr w:type="spellEnd"/>
      <w:r w:rsidR="008939B5" w:rsidRPr="00E75261">
        <w:rPr>
          <w:rFonts w:eastAsia="Inter"/>
          <w:b/>
          <w:bCs/>
          <w:sz w:val="30"/>
          <w:szCs w:val="30"/>
          <w:lang w:val="en-US"/>
        </w:rPr>
        <w:t xml:space="preserve"> </w:t>
      </w:r>
      <w:r w:rsidRPr="00E75261">
        <w:rPr>
          <w:rFonts w:eastAsia="Inter"/>
          <w:b/>
          <w:bCs/>
          <w:sz w:val="30"/>
          <w:szCs w:val="30"/>
          <w:lang w:val="en-US"/>
        </w:rPr>
        <w:t xml:space="preserve">in </w:t>
      </w:r>
      <w:proofErr w:type="spellStart"/>
      <w:r w:rsidRPr="00E75261">
        <w:rPr>
          <w:rFonts w:eastAsia="Inter"/>
          <w:b/>
          <w:bCs/>
          <w:sz w:val="30"/>
          <w:szCs w:val="30"/>
          <w:lang w:val="en-US"/>
        </w:rPr>
        <w:t>criptovalute</w:t>
      </w:r>
      <w:proofErr w:type="spellEnd"/>
    </w:p>
    <w:p w14:paraId="2AAC7921" w14:textId="77777777" w:rsidR="004A168F" w:rsidRDefault="004A168F">
      <w:pPr>
        <w:spacing w:before="240" w:after="240"/>
        <w:jc w:val="both"/>
        <w:rPr>
          <w:rFonts w:ascii="Inter" w:eastAsia="Inter" w:hAnsi="Inter" w:cs="Inter"/>
          <w:b/>
          <w:bCs/>
        </w:rPr>
      </w:pPr>
    </w:p>
    <w:p w14:paraId="3569A385" w14:textId="4CDA3972" w:rsidR="004A168F" w:rsidRPr="004A168F" w:rsidRDefault="004A168F" w:rsidP="004A168F">
      <w:pPr>
        <w:pStyle w:val="mb-4"/>
        <w:spacing w:before="0" w:beforeAutospacing="0" w:after="240" w:afterAutospacing="0" w:line="420" w:lineRule="atLeast"/>
        <w:jc w:val="both"/>
        <w:rPr>
          <w:rFonts w:ascii="Arial" w:hAnsi="Arial" w:cs="Arial"/>
        </w:rPr>
      </w:pPr>
      <w:r w:rsidRPr="004A168F">
        <w:rPr>
          <w:rFonts w:ascii="Arial" w:hAnsi="Arial" w:cs="Arial"/>
          <w:b/>
          <w:bCs/>
        </w:rPr>
        <w:t>Vienna, Austria, 17 marzo 2026</w:t>
      </w:r>
      <w:r w:rsidRPr="004A168F">
        <w:rPr>
          <w:rFonts w:ascii="Arial" w:hAnsi="Arial" w:cs="Arial"/>
        </w:rPr>
        <w:t xml:space="preserve"> – </w:t>
      </w:r>
      <w:hyperlink r:id="rId10" w:history="1">
        <w:proofErr w:type="spellStart"/>
        <w:r w:rsidRPr="004A168F">
          <w:rPr>
            <w:rStyle w:val="Collegamentoipertestuale"/>
            <w:rFonts w:ascii="Arial" w:hAnsi="Arial" w:cs="Arial"/>
          </w:rPr>
          <w:t>Bybit</w:t>
        </w:r>
        <w:proofErr w:type="spellEnd"/>
        <w:r w:rsidRPr="004A168F">
          <w:rPr>
            <w:rStyle w:val="Collegamentoipertestuale"/>
            <w:rFonts w:ascii="Arial" w:hAnsi="Arial" w:cs="Arial"/>
          </w:rPr>
          <w:t xml:space="preserve"> EU</w:t>
        </w:r>
      </w:hyperlink>
      <w:r w:rsidRPr="004A168F">
        <w:rPr>
          <w:rFonts w:ascii="Arial" w:hAnsi="Arial" w:cs="Arial"/>
        </w:rPr>
        <w:t xml:space="preserve">, divisione europea di </w:t>
      </w:r>
      <w:proofErr w:type="spellStart"/>
      <w:r w:rsidRPr="004A168F">
        <w:rPr>
          <w:rFonts w:ascii="Arial" w:hAnsi="Arial" w:cs="Arial"/>
        </w:rPr>
        <w:t>Bybit</w:t>
      </w:r>
      <w:proofErr w:type="spellEnd"/>
      <w:r w:rsidRPr="004A168F">
        <w:rPr>
          <w:rFonts w:ascii="Arial" w:hAnsi="Arial" w:cs="Arial"/>
        </w:rPr>
        <w:t xml:space="preserve"> e fornitore di servizi per cripto-asset autorizzato ai sensi del </w:t>
      </w:r>
      <w:proofErr w:type="spellStart"/>
      <w:r w:rsidRPr="004A168F">
        <w:rPr>
          <w:rFonts w:ascii="Arial" w:hAnsi="Arial" w:cs="Arial"/>
        </w:rPr>
        <w:t>MiCAR</w:t>
      </w:r>
      <w:proofErr w:type="spellEnd"/>
      <w:r w:rsidRPr="004A168F">
        <w:rPr>
          <w:rFonts w:ascii="Arial" w:hAnsi="Arial" w:cs="Arial"/>
        </w:rPr>
        <w:t xml:space="preserve">, con sede a Vienna, annuncia oggi l’integrazione di PayPal come nuovo metodo di </w:t>
      </w:r>
      <w:r w:rsidR="008939B5">
        <w:rPr>
          <w:rFonts w:ascii="Arial" w:hAnsi="Arial" w:cs="Arial"/>
        </w:rPr>
        <w:t>finanziamento</w:t>
      </w:r>
      <w:r w:rsidRPr="004A168F">
        <w:rPr>
          <w:rFonts w:ascii="Arial" w:hAnsi="Arial" w:cs="Arial"/>
        </w:rPr>
        <w:t xml:space="preserve"> e prelievo in valuta fiat nei mercati SEE in cui la piattaforma opera. La collaborazione unisce uno dei </w:t>
      </w:r>
      <w:r>
        <w:rPr>
          <w:rFonts w:ascii="Arial" w:hAnsi="Arial" w:cs="Arial"/>
        </w:rPr>
        <w:t>player</w:t>
      </w:r>
      <w:r w:rsidRPr="004A168F">
        <w:rPr>
          <w:rFonts w:ascii="Arial" w:hAnsi="Arial" w:cs="Arial"/>
        </w:rPr>
        <w:t xml:space="preserve"> di pagamento globali più riconosciuti e una delle piattaforme cr</w:t>
      </w:r>
      <w:r>
        <w:rPr>
          <w:rFonts w:ascii="Arial" w:hAnsi="Arial" w:cs="Arial"/>
        </w:rPr>
        <w:t>i</w:t>
      </w:r>
      <w:r w:rsidRPr="004A168F">
        <w:rPr>
          <w:rFonts w:ascii="Arial" w:hAnsi="Arial" w:cs="Arial"/>
        </w:rPr>
        <w:t>pto più note nell’UE, offrendo agli utenti un modo sicuro e familiare per passare da valuta fiat ad asset digitali e viceversa.</w:t>
      </w:r>
    </w:p>
    <w:p w14:paraId="03F178F7" w14:textId="68ECFF64" w:rsidR="004A168F" w:rsidRDefault="004A168F" w:rsidP="004A168F">
      <w:pPr>
        <w:pStyle w:val="mb-4"/>
        <w:spacing w:before="0" w:beforeAutospacing="0" w:after="240" w:afterAutospacing="0" w:line="420" w:lineRule="atLeast"/>
        <w:jc w:val="both"/>
        <w:rPr>
          <w:rFonts w:ascii="Arial" w:hAnsi="Arial" w:cs="Arial"/>
        </w:rPr>
      </w:pPr>
      <w:r w:rsidRPr="004A168F">
        <w:rPr>
          <w:rFonts w:ascii="Arial" w:hAnsi="Arial" w:cs="Arial"/>
        </w:rPr>
        <w:t xml:space="preserve">Per milioni di europei, PayPal è sinonimo di pagamenti online sicuri. Integrando PayPal direttamente nei flussi di </w:t>
      </w:r>
      <w:r w:rsidR="008939B5">
        <w:rPr>
          <w:rFonts w:ascii="Arial" w:hAnsi="Arial" w:cs="Arial"/>
        </w:rPr>
        <w:t>finanziamento</w:t>
      </w:r>
      <w:r w:rsidRPr="004A168F">
        <w:rPr>
          <w:rFonts w:ascii="Arial" w:hAnsi="Arial" w:cs="Arial"/>
        </w:rPr>
        <w:t xml:space="preserve"> e prelievo, </w:t>
      </w:r>
      <w:proofErr w:type="spellStart"/>
      <w:r w:rsidRPr="004A168F">
        <w:rPr>
          <w:rFonts w:ascii="Arial" w:hAnsi="Arial" w:cs="Arial"/>
        </w:rPr>
        <w:t>Bybit</w:t>
      </w:r>
      <w:proofErr w:type="spellEnd"/>
      <w:r w:rsidRPr="004A168F">
        <w:rPr>
          <w:rFonts w:ascii="Arial" w:hAnsi="Arial" w:cs="Arial"/>
        </w:rPr>
        <w:t xml:space="preserve"> EU rimuove un ostacolo chiave per i nuovi utenti: l’incertezza su come iniziare. Da oggi è possibile accedere alle criptovalute utilizzando lo stesso metodo di pagamento già impiegato per gli acquisti di tutti i giorni.</w:t>
      </w:r>
    </w:p>
    <w:p w14:paraId="5D413B38" w14:textId="6FE21474" w:rsidR="004A168F" w:rsidRPr="004A168F" w:rsidRDefault="004A168F" w:rsidP="004A168F">
      <w:pPr>
        <w:pStyle w:val="mb-4"/>
        <w:spacing w:before="0" w:beforeAutospacing="0" w:after="240" w:afterAutospacing="0" w:line="420" w:lineRule="atLeast"/>
        <w:jc w:val="both"/>
        <w:rPr>
          <w:rFonts w:ascii="Arial" w:hAnsi="Arial" w:cs="Arial"/>
        </w:rPr>
      </w:pPr>
      <w:proofErr w:type="spellStart"/>
      <w:r w:rsidRPr="004A168F">
        <w:rPr>
          <w:rFonts w:ascii="Arial" w:hAnsi="Arial" w:cs="Arial"/>
        </w:rPr>
        <w:t>Bybit</w:t>
      </w:r>
      <w:proofErr w:type="spellEnd"/>
      <w:r w:rsidRPr="004A168F">
        <w:rPr>
          <w:rFonts w:ascii="Arial" w:hAnsi="Arial" w:cs="Arial"/>
        </w:rPr>
        <w:t xml:space="preserve"> EU opera nel quadro regolamentare </w:t>
      </w:r>
      <w:proofErr w:type="spellStart"/>
      <w:r w:rsidRPr="004A168F">
        <w:rPr>
          <w:rFonts w:ascii="Arial" w:hAnsi="Arial" w:cs="Arial"/>
        </w:rPr>
        <w:t>MiCA</w:t>
      </w:r>
      <w:proofErr w:type="spellEnd"/>
      <w:r w:rsidRPr="004A168F">
        <w:rPr>
          <w:rFonts w:ascii="Arial" w:hAnsi="Arial" w:cs="Arial"/>
        </w:rPr>
        <w:t xml:space="preserve"> dell’UE, garantendo tutele chiare per i consumatori, operazioni trasparenti e conformità agli standard europei. L’aggiunta di PayPal è quindi più di un semplice miglioramento della comodità: rappresenta un impegno a </w:t>
      </w:r>
      <w:r>
        <w:rPr>
          <w:rFonts w:ascii="Arial" w:hAnsi="Arial" w:cs="Arial"/>
        </w:rPr>
        <w:t>sviluppare</w:t>
      </w:r>
      <w:r w:rsidRPr="004A168F">
        <w:rPr>
          <w:rFonts w:ascii="Arial" w:hAnsi="Arial" w:cs="Arial"/>
        </w:rPr>
        <w:t xml:space="preserve"> in Europa un ecosistema di finanza digitale sicuro e affidabile.</w:t>
      </w:r>
    </w:p>
    <w:p w14:paraId="2A89C610" w14:textId="298617AB" w:rsidR="004A168F" w:rsidRPr="004A168F" w:rsidRDefault="004A168F" w:rsidP="004A168F">
      <w:pPr>
        <w:pStyle w:val="mb-4"/>
        <w:spacing w:before="0" w:beforeAutospacing="0" w:after="240" w:afterAutospacing="0" w:line="420" w:lineRule="atLeast"/>
        <w:jc w:val="both"/>
        <w:rPr>
          <w:rFonts w:ascii="Arial" w:hAnsi="Arial" w:cs="Arial"/>
        </w:rPr>
      </w:pPr>
      <w:r w:rsidRPr="004A168F">
        <w:rPr>
          <w:rFonts w:ascii="Arial" w:hAnsi="Arial" w:cs="Arial"/>
        </w:rPr>
        <w:t xml:space="preserve">“L’integrazione di PayPal è una tappa importante nella nostra missione di offrire un accesso agli asset digitali sicuro, conforme e intuitivo”, ha dichiarato </w:t>
      </w:r>
      <w:r w:rsidRPr="004A168F">
        <w:rPr>
          <w:rFonts w:ascii="Arial" w:hAnsi="Arial" w:cs="Arial"/>
          <w:b/>
          <w:bCs/>
        </w:rPr>
        <w:t xml:space="preserve">Mazurka Zeng, Co-CEO di </w:t>
      </w:r>
      <w:proofErr w:type="spellStart"/>
      <w:r w:rsidRPr="004A168F">
        <w:rPr>
          <w:rFonts w:ascii="Arial" w:hAnsi="Arial" w:cs="Arial"/>
          <w:b/>
          <w:bCs/>
        </w:rPr>
        <w:t>Bybit</w:t>
      </w:r>
      <w:proofErr w:type="spellEnd"/>
      <w:r w:rsidRPr="004A168F">
        <w:rPr>
          <w:rFonts w:ascii="Arial" w:hAnsi="Arial" w:cs="Arial"/>
          <w:b/>
          <w:bCs/>
        </w:rPr>
        <w:t xml:space="preserve"> EU</w:t>
      </w:r>
      <w:r w:rsidRPr="004A168F">
        <w:rPr>
          <w:rFonts w:ascii="Arial" w:hAnsi="Arial" w:cs="Arial"/>
        </w:rPr>
        <w:t>. “</w:t>
      </w:r>
      <w:r>
        <w:rPr>
          <w:rFonts w:ascii="Arial" w:hAnsi="Arial" w:cs="Arial"/>
        </w:rPr>
        <w:t>Tale</w:t>
      </w:r>
      <w:r w:rsidRPr="004A168F">
        <w:rPr>
          <w:rFonts w:ascii="Arial" w:hAnsi="Arial" w:cs="Arial"/>
        </w:rPr>
        <w:t xml:space="preserve"> collaborazione allinea pagamenti affidabili a un ambiente di trading regolamentato e </w:t>
      </w:r>
      <w:r>
        <w:rPr>
          <w:rFonts w:ascii="Arial" w:hAnsi="Arial" w:cs="Arial"/>
        </w:rPr>
        <w:t>rafforza ulteriormente la</w:t>
      </w:r>
      <w:r w:rsidRPr="004A168F">
        <w:rPr>
          <w:rFonts w:ascii="Arial" w:hAnsi="Arial" w:cs="Arial"/>
        </w:rPr>
        <w:t xml:space="preserve"> fiducia nell’ingresso nel mondo cr</w:t>
      </w:r>
      <w:r>
        <w:rPr>
          <w:rFonts w:ascii="Arial" w:hAnsi="Arial" w:cs="Arial"/>
        </w:rPr>
        <w:t>i</w:t>
      </w:r>
      <w:r w:rsidRPr="004A168F">
        <w:rPr>
          <w:rFonts w:ascii="Arial" w:hAnsi="Arial" w:cs="Arial"/>
        </w:rPr>
        <w:t>pto.”</w:t>
      </w:r>
    </w:p>
    <w:p w14:paraId="02800AD0" w14:textId="212B5658" w:rsidR="004A168F" w:rsidRPr="004A168F" w:rsidRDefault="004A168F" w:rsidP="004A168F">
      <w:pPr>
        <w:pStyle w:val="mb-4"/>
        <w:spacing w:before="0" w:beforeAutospacing="0" w:after="240" w:afterAutospacing="0" w:line="420" w:lineRule="atLeast"/>
        <w:jc w:val="both"/>
        <w:rPr>
          <w:rFonts w:ascii="Arial" w:hAnsi="Arial" w:cs="Arial"/>
        </w:rPr>
      </w:pPr>
      <w:r w:rsidRPr="004A168F">
        <w:rPr>
          <w:rFonts w:ascii="Arial" w:hAnsi="Arial" w:cs="Arial"/>
        </w:rPr>
        <w:t xml:space="preserve">“Man mano che sempre più consumatori si avvicinano alle criptovalute, esperienze di pagamento affidabili sono fondamentali per favorire un utilizzo più ampio degli asset </w:t>
      </w:r>
      <w:r w:rsidRPr="004A168F">
        <w:rPr>
          <w:rFonts w:ascii="Arial" w:hAnsi="Arial" w:cs="Arial"/>
        </w:rPr>
        <w:lastRenderedPageBreak/>
        <w:t xml:space="preserve">digitali”, ha dichiarato </w:t>
      </w:r>
      <w:r w:rsidRPr="00D23099">
        <w:rPr>
          <w:rFonts w:ascii="Arial" w:hAnsi="Arial" w:cs="Arial"/>
          <w:b/>
          <w:bCs/>
        </w:rPr>
        <w:t xml:space="preserve">Samba </w:t>
      </w:r>
      <w:proofErr w:type="spellStart"/>
      <w:r w:rsidRPr="00D23099">
        <w:rPr>
          <w:rFonts w:ascii="Arial" w:hAnsi="Arial" w:cs="Arial"/>
          <w:b/>
          <w:bCs/>
        </w:rPr>
        <w:t>Natarajan</w:t>
      </w:r>
      <w:proofErr w:type="spellEnd"/>
      <w:r w:rsidRPr="00D23099">
        <w:rPr>
          <w:rFonts w:ascii="Arial" w:hAnsi="Arial" w:cs="Arial"/>
          <w:b/>
          <w:bCs/>
        </w:rPr>
        <w:t xml:space="preserve">, Senior Vice </w:t>
      </w:r>
      <w:proofErr w:type="spellStart"/>
      <w:r w:rsidRPr="00D23099">
        <w:rPr>
          <w:rFonts w:ascii="Arial" w:hAnsi="Arial" w:cs="Arial"/>
          <w:b/>
          <w:bCs/>
        </w:rPr>
        <w:t>President</w:t>
      </w:r>
      <w:proofErr w:type="spellEnd"/>
      <w:r w:rsidRPr="00D23099">
        <w:rPr>
          <w:rFonts w:ascii="Arial" w:hAnsi="Arial" w:cs="Arial"/>
          <w:b/>
          <w:bCs/>
        </w:rPr>
        <w:t xml:space="preserve"> e General Manager, Europe di PayPal</w:t>
      </w:r>
      <w:r w:rsidRPr="004A168F">
        <w:rPr>
          <w:rFonts w:ascii="Arial" w:hAnsi="Arial" w:cs="Arial"/>
        </w:rPr>
        <w:t>. “Offrendo un’opzione di pagamento e prelievo in fiat per abilitare le transazioni cr</w:t>
      </w:r>
      <w:r w:rsidR="00C300ED">
        <w:rPr>
          <w:rFonts w:ascii="Arial" w:hAnsi="Arial" w:cs="Arial"/>
        </w:rPr>
        <w:t>i</w:t>
      </w:r>
      <w:r w:rsidRPr="004A168F">
        <w:rPr>
          <w:rFonts w:ascii="Arial" w:hAnsi="Arial" w:cs="Arial"/>
        </w:rPr>
        <w:t xml:space="preserve">pto su </w:t>
      </w:r>
      <w:proofErr w:type="spellStart"/>
      <w:r w:rsidRPr="004A168F">
        <w:rPr>
          <w:rFonts w:ascii="Arial" w:hAnsi="Arial" w:cs="Arial"/>
        </w:rPr>
        <w:t>Bybit</w:t>
      </w:r>
      <w:proofErr w:type="spellEnd"/>
      <w:r w:rsidRPr="004A168F">
        <w:rPr>
          <w:rFonts w:ascii="Arial" w:hAnsi="Arial" w:cs="Arial"/>
        </w:rPr>
        <w:t xml:space="preserve"> EU, garantiamo ai nostri utenti un accesso fluido al crescente ecosistema degli asset digitali con la stessa sicurezza e fiducia per cui PayPal è conosciuta.”</w:t>
      </w:r>
    </w:p>
    <w:p w14:paraId="052B8D7B" w14:textId="61243A57" w:rsidR="004A168F" w:rsidRPr="004A168F" w:rsidRDefault="004A168F" w:rsidP="004A168F">
      <w:pPr>
        <w:pStyle w:val="mb-4"/>
        <w:spacing w:before="0" w:beforeAutospacing="0" w:after="240" w:afterAutospacing="0" w:line="420" w:lineRule="atLeast"/>
        <w:jc w:val="both"/>
        <w:rPr>
          <w:rFonts w:ascii="Arial" w:hAnsi="Arial" w:cs="Arial"/>
        </w:rPr>
      </w:pPr>
      <w:r w:rsidRPr="004A168F">
        <w:rPr>
          <w:rFonts w:ascii="Arial" w:hAnsi="Arial" w:cs="Arial"/>
        </w:rPr>
        <w:t xml:space="preserve">Con PayPal, gli utenti possono alimentare il proprio conto </w:t>
      </w:r>
      <w:proofErr w:type="spellStart"/>
      <w:r w:rsidRPr="004A168F">
        <w:rPr>
          <w:rFonts w:ascii="Arial" w:hAnsi="Arial" w:cs="Arial"/>
        </w:rPr>
        <w:t>Bybit</w:t>
      </w:r>
      <w:proofErr w:type="spellEnd"/>
      <w:r w:rsidRPr="004A168F">
        <w:rPr>
          <w:rFonts w:ascii="Arial" w:hAnsi="Arial" w:cs="Arial"/>
        </w:rPr>
        <w:t xml:space="preserve"> EU o prelevare i proventi in cr</w:t>
      </w:r>
      <w:r w:rsidR="00D23099">
        <w:rPr>
          <w:rFonts w:ascii="Arial" w:hAnsi="Arial" w:cs="Arial"/>
        </w:rPr>
        <w:t>i</w:t>
      </w:r>
      <w:r w:rsidRPr="004A168F">
        <w:rPr>
          <w:rFonts w:ascii="Arial" w:hAnsi="Arial" w:cs="Arial"/>
        </w:rPr>
        <w:t>pto senza aprire nuovi conti né attendere i tempi dei bonifici bancari. L’integrazione offre un punto di ingresso snello per chi cerca un modo rapido, semplice e affidabile per iniziare con le criptovalute all’interno di un quadro regolamentato.</w:t>
      </w:r>
    </w:p>
    <w:p w14:paraId="72DF58D6" w14:textId="77777777" w:rsidR="004A168F" w:rsidRPr="004A168F" w:rsidRDefault="004A168F" w:rsidP="004A168F">
      <w:pPr>
        <w:pStyle w:val="mb-4"/>
        <w:spacing w:before="0" w:beforeAutospacing="0" w:after="240" w:afterAutospacing="0" w:line="420" w:lineRule="atLeast"/>
        <w:jc w:val="both"/>
        <w:rPr>
          <w:rFonts w:ascii="Arial" w:hAnsi="Arial" w:cs="Arial"/>
        </w:rPr>
      </w:pPr>
      <w:r w:rsidRPr="004A168F">
        <w:rPr>
          <w:rFonts w:ascii="Arial" w:hAnsi="Arial" w:cs="Arial"/>
        </w:rPr>
        <w:t xml:space="preserve">A supporto del lancio, </w:t>
      </w:r>
      <w:proofErr w:type="spellStart"/>
      <w:r w:rsidRPr="004A168F">
        <w:rPr>
          <w:rFonts w:ascii="Arial" w:hAnsi="Arial" w:cs="Arial"/>
        </w:rPr>
        <w:t>Bybit</w:t>
      </w:r>
      <w:proofErr w:type="spellEnd"/>
      <w:r w:rsidRPr="004A168F">
        <w:rPr>
          <w:rFonts w:ascii="Arial" w:hAnsi="Arial" w:cs="Arial"/>
        </w:rPr>
        <w:t xml:space="preserve"> EU e PayPal attiveranno una campagna </w:t>
      </w:r>
      <w:proofErr w:type="spellStart"/>
      <w:r w:rsidRPr="004A168F">
        <w:rPr>
          <w:rFonts w:ascii="Arial" w:hAnsi="Arial" w:cs="Arial"/>
        </w:rPr>
        <w:t>reward</w:t>
      </w:r>
      <w:proofErr w:type="spellEnd"/>
      <w:r w:rsidRPr="004A168F">
        <w:rPr>
          <w:rFonts w:ascii="Arial" w:hAnsi="Arial" w:cs="Arial"/>
        </w:rPr>
        <w:t xml:space="preserve"> co-</w:t>
      </w:r>
      <w:proofErr w:type="spellStart"/>
      <w:r w:rsidRPr="004A168F">
        <w:rPr>
          <w:rFonts w:ascii="Arial" w:hAnsi="Arial" w:cs="Arial"/>
        </w:rPr>
        <w:t>branded</w:t>
      </w:r>
      <w:proofErr w:type="spellEnd"/>
      <w:r w:rsidRPr="004A168F">
        <w:rPr>
          <w:rFonts w:ascii="Arial" w:hAnsi="Arial" w:cs="Arial"/>
        </w:rPr>
        <w:t xml:space="preserve">, grazie alla quale gli utenti potranno ottenere incentivi fino a 30 € in BTC effettuando una ricarica tramite PayPal. Inoltre, chi scarica l’app o aggiorna all’ultima versione beneficerà, per un periodo limitato, di zero commissioni </w:t>
      </w:r>
      <w:proofErr w:type="spellStart"/>
      <w:r w:rsidRPr="004A168F">
        <w:rPr>
          <w:rFonts w:ascii="Arial" w:hAnsi="Arial" w:cs="Arial"/>
        </w:rPr>
        <w:t>Bybit</w:t>
      </w:r>
      <w:proofErr w:type="spellEnd"/>
      <w:r w:rsidRPr="004A168F">
        <w:rPr>
          <w:rFonts w:ascii="Arial" w:hAnsi="Arial" w:cs="Arial"/>
        </w:rPr>
        <w:t xml:space="preserve"> sui depositi in fiat tramite PayPal.</w:t>
      </w:r>
    </w:p>
    <w:p w14:paraId="019EC439" w14:textId="77777777" w:rsidR="004F0580" w:rsidRDefault="004F0580">
      <w:pPr>
        <w:rPr>
          <w:rFonts w:ascii="Inter" w:eastAsia="Inter" w:hAnsi="Inter" w:cs="Inter"/>
          <w:color w:val="FF9C2E"/>
        </w:rPr>
      </w:pPr>
    </w:p>
    <w:p w14:paraId="0AB87EC4" w14:textId="77777777" w:rsidR="004F0580" w:rsidRDefault="004F0580">
      <w:pPr>
        <w:rPr>
          <w:rFonts w:ascii="Inter" w:eastAsia="Inter" w:hAnsi="Inter" w:cs="Inter"/>
          <w:color w:val="FF9C2E"/>
        </w:rPr>
      </w:pPr>
    </w:p>
    <w:p w14:paraId="0570C98D" w14:textId="6ADAA1DA" w:rsidR="002E1669" w:rsidRDefault="00D23099">
      <w:pPr>
        <w:rPr>
          <w:rFonts w:ascii="Inter" w:hAnsi="Inter"/>
          <w:color w:val="FF9C2E"/>
          <w:shd w:val="clear" w:color="auto" w:fill="FFFFFF"/>
        </w:rPr>
      </w:pPr>
      <w:r>
        <w:rPr>
          <w:rFonts w:ascii="Inter" w:hAnsi="Inter"/>
          <w:color w:val="FF9C2E"/>
          <w:shd w:val="clear" w:color="auto" w:fill="FFFFFF"/>
        </w:rPr>
        <w:t>#BybitEU | #NewFinancialPlatform </w:t>
      </w:r>
    </w:p>
    <w:p w14:paraId="5C9BEF99" w14:textId="77777777" w:rsidR="00D23099" w:rsidRDefault="00D23099">
      <w:pPr>
        <w:rPr>
          <w:rFonts w:ascii="Inter" w:eastAsia="Inter" w:hAnsi="Inter" w:cs="Inter"/>
          <w:color w:val="202020"/>
        </w:rPr>
      </w:pPr>
    </w:p>
    <w:p w14:paraId="4E526C1E" w14:textId="77777777" w:rsidR="00377556" w:rsidRPr="00021309" w:rsidRDefault="00377556" w:rsidP="2ED722A2">
      <w:pPr>
        <w:rPr>
          <w:b/>
          <w:bCs/>
          <w:color w:val="000000"/>
          <w:sz w:val="20"/>
          <w:szCs w:val="20"/>
          <w:lang w:val="en-US"/>
        </w:rPr>
      </w:pPr>
      <w:bookmarkStart w:id="0" w:name="_g13m6s45dj28"/>
      <w:bookmarkEnd w:id="0"/>
      <w:r w:rsidRPr="2ED722A2">
        <w:rPr>
          <w:b/>
          <w:bCs/>
          <w:color w:val="000000" w:themeColor="text1"/>
          <w:sz w:val="20"/>
          <w:szCs w:val="20"/>
          <w:lang w:val="en-US"/>
        </w:rPr>
        <w:t>Informazioni su Bybit EU</w:t>
      </w:r>
    </w:p>
    <w:p w14:paraId="5F7EDDD1" w14:textId="742A92DA" w:rsidR="00D23099" w:rsidRPr="00D23099" w:rsidRDefault="00D23099" w:rsidP="00D23099">
      <w:pPr>
        <w:spacing w:after="240" w:line="420" w:lineRule="atLeast"/>
        <w:jc w:val="both"/>
        <w:rPr>
          <w:rFonts w:eastAsia="Times New Roman"/>
          <w:sz w:val="21"/>
          <w:szCs w:val="21"/>
          <w:lang w:val="it-IT"/>
        </w:rPr>
      </w:pPr>
      <w:proofErr w:type="spellStart"/>
      <w:r w:rsidRPr="00D23099">
        <w:rPr>
          <w:rFonts w:eastAsia="Times New Roman"/>
          <w:sz w:val="21"/>
          <w:szCs w:val="21"/>
          <w:lang w:val="it-IT"/>
        </w:rPr>
        <w:t>Bybit</w:t>
      </w:r>
      <w:proofErr w:type="spellEnd"/>
      <w:r w:rsidRPr="00D23099">
        <w:rPr>
          <w:rFonts w:eastAsia="Times New Roman"/>
          <w:sz w:val="21"/>
          <w:szCs w:val="21"/>
          <w:lang w:val="it-IT"/>
        </w:rPr>
        <w:t xml:space="preserve"> EU GmbH è un </w:t>
      </w:r>
      <w:proofErr w:type="spellStart"/>
      <w:r w:rsidRPr="00D23099">
        <w:rPr>
          <w:rFonts w:eastAsia="Times New Roman"/>
          <w:sz w:val="21"/>
          <w:szCs w:val="21"/>
          <w:lang w:val="it-IT"/>
        </w:rPr>
        <w:t>Crypto</w:t>
      </w:r>
      <w:proofErr w:type="spellEnd"/>
      <w:r w:rsidRPr="00D23099">
        <w:rPr>
          <w:rFonts w:eastAsia="Times New Roman"/>
          <w:sz w:val="21"/>
          <w:szCs w:val="21"/>
          <w:lang w:val="it-IT"/>
        </w:rPr>
        <w:t xml:space="preserve">-Asset Service Provider (CASP) austriaco autorizzato ai sensi del Markets in </w:t>
      </w:r>
      <w:proofErr w:type="spellStart"/>
      <w:r w:rsidRPr="00D23099">
        <w:rPr>
          <w:rFonts w:eastAsia="Times New Roman"/>
          <w:sz w:val="21"/>
          <w:szCs w:val="21"/>
          <w:lang w:val="it-IT"/>
        </w:rPr>
        <w:t>Crypto</w:t>
      </w:r>
      <w:proofErr w:type="spellEnd"/>
      <w:r w:rsidRPr="00D23099">
        <w:rPr>
          <w:rFonts w:eastAsia="Times New Roman"/>
          <w:sz w:val="21"/>
          <w:szCs w:val="21"/>
          <w:lang w:val="it-IT"/>
        </w:rPr>
        <w:t xml:space="preserve">-Assets </w:t>
      </w:r>
      <w:proofErr w:type="spellStart"/>
      <w:r w:rsidRPr="00D23099">
        <w:rPr>
          <w:rFonts w:eastAsia="Times New Roman"/>
          <w:sz w:val="21"/>
          <w:szCs w:val="21"/>
          <w:lang w:val="it-IT"/>
        </w:rPr>
        <w:t>Regulation</w:t>
      </w:r>
      <w:proofErr w:type="spellEnd"/>
      <w:r w:rsidRPr="00D23099">
        <w:rPr>
          <w:rFonts w:eastAsia="Times New Roman"/>
          <w:sz w:val="21"/>
          <w:szCs w:val="21"/>
          <w:lang w:val="it-IT"/>
        </w:rPr>
        <w:t xml:space="preserve"> (</w:t>
      </w:r>
      <w:proofErr w:type="spellStart"/>
      <w:r w:rsidRPr="00D23099">
        <w:rPr>
          <w:rFonts w:eastAsia="Times New Roman"/>
          <w:sz w:val="21"/>
          <w:szCs w:val="21"/>
          <w:lang w:val="it-IT"/>
        </w:rPr>
        <w:t>MiCAR</w:t>
      </w:r>
      <w:proofErr w:type="spellEnd"/>
      <w:r w:rsidRPr="00D23099">
        <w:rPr>
          <w:rFonts w:eastAsia="Times New Roman"/>
          <w:sz w:val="21"/>
          <w:szCs w:val="21"/>
          <w:lang w:val="it-IT"/>
        </w:rPr>
        <w:t xml:space="preserve">) in Austria. </w:t>
      </w:r>
      <w:proofErr w:type="spellStart"/>
      <w:r w:rsidRPr="00D23099">
        <w:rPr>
          <w:rFonts w:eastAsia="Times New Roman"/>
          <w:sz w:val="21"/>
          <w:szCs w:val="21"/>
          <w:lang w:val="it-IT"/>
        </w:rPr>
        <w:t>Bybit</w:t>
      </w:r>
      <w:proofErr w:type="spellEnd"/>
      <w:r w:rsidRPr="00D23099">
        <w:rPr>
          <w:rFonts w:eastAsia="Times New Roman"/>
          <w:sz w:val="21"/>
          <w:szCs w:val="21"/>
          <w:lang w:val="it-IT"/>
        </w:rPr>
        <w:t xml:space="preserve"> EU serve clienti in tutto lo Spazio Economico Europeo (SEE) — ad eccezione di Malta — tramite la piattaforma </w:t>
      </w:r>
      <w:hyperlink r:id="rId11" w:history="1">
        <w:r w:rsidRPr="00D23099">
          <w:rPr>
            <w:rStyle w:val="Collegamentoipertestuale"/>
            <w:rFonts w:eastAsia="Times New Roman"/>
            <w:sz w:val="21"/>
            <w:szCs w:val="21"/>
            <w:lang w:val="it-IT"/>
          </w:rPr>
          <w:t>bybi</w:t>
        </w:r>
        <w:r w:rsidRPr="00D23099">
          <w:rPr>
            <w:rStyle w:val="Collegamentoipertestuale"/>
            <w:rFonts w:eastAsia="Times New Roman"/>
            <w:sz w:val="21"/>
            <w:szCs w:val="21"/>
            <w:lang w:val="it-IT"/>
          </w:rPr>
          <w:t>t</w:t>
        </w:r>
        <w:r w:rsidRPr="00D23099">
          <w:rPr>
            <w:rStyle w:val="Collegamentoipertestuale"/>
            <w:rFonts w:eastAsia="Times New Roman"/>
            <w:sz w:val="21"/>
            <w:szCs w:val="21"/>
            <w:lang w:val="it-IT"/>
          </w:rPr>
          <w:t>.eu</w:t>
        </w:r>
      </w:hyperlink>
      <w:r w:rsidRPr="00D23099">
        <w:rPr>
          <w:rFonts w:eastAsia="Times New Roman"/>
          <w:sz w:val="21"/>
          <w:szCs w:val="21"/>
          <w:lang w:val="it-IT"/>
        </w:rPr>
        <w:t>.</w:t>
      </w:r>
    </w:p>
    <w:p w14:paraId="211080FB" w14:textId="77777777" w:rsidR="00D23099" w:rsidRPr="00D23099" w:rsidRDefault="00D23099" w:rsidP="00D23099">
      <w:pPr>
        <w:spacing w:after="240" w:line="420" w:lineRule="atLeast"/>
        <w:jc w:val="both"/>
        <w:rPr>
          <w:rFonts w:eastAsia="Times New Roman"/>
          <w:sz w:val="21"/>
          <w:szCs w:val="21"/>
          <w:lang w:val="it-IT"/>
        </w:rPr>
      </w:pPr>
      <w:proofErr w:type="spellStart"/>
      <w:r w:rsidRPr="00D23099">
        <w:rPr>
          <w:rFonts w:eastAsia="Times New Roman"/>
          <w:sz w:val="21"/>
          <w:szCs w:val="21"/>
          <w:lang w:val="it-IT"/>
        </w:rPr>
        <w:t>Bybit</w:t>
      </w:r>
      <w:proofErr w:type="spellEnd"/>
      <w:r w:rsidRPr="00D23099">
        <w:rPr>
          <w:rFonts w:eastAsia="Times New Roman"/>
          <w:sz w:val="21"/>
          <w:szCs w:val="21"/>
          <w:lang w:val="it-IT"/>
        </w:rPr>
        <w:t xml:space="preserve"> EU GmbH è autorizzata a offrire i seguenti servizi:</w:t>
      </w:r>
    </w:p>
    <w:p w14:paraId="1130DFCC" w14:textId="77777777" w:rsidR="00D23099" w:rsidRPr="00D23099" w:rsidRDefault="00D23099" w:rsidP="00D23099">
      <w:pPr>
        <w:numPr>
          <w:ilvl w:val="0"/>
          <w:numId w:val="2"/>
        </w:numPr>
        <w:spacing w:before="120" w:line="240" w:lineRule="auto"/>
        <w:ind w:left="1080"/>
        <w:jc w:val="both"/>
        <w:rPr>
          <w:rFonts w:eastAsia="Times New Roman"/>
          <w:sz w:val="21"/>
          <w:szCs w:val="21"/>
          <w:lang w:val="it-IT"/>
        </w:rPr>
      </w:pPr>
      <w:r w:rsidRPr="00D23099">
        <w:rPr>
          <w:rFonts w:eastAsia="Times New Roman"/>
          <w:sz w:val="21"/>
          <w:szCs w:val="21"/>
          <w:lang w:val="it-IT"/>
        </w:rPr>
        <w:t>custodia e amministrazione di cripto-asset per conto dei clienti;</w:t>
      </w:r>
    </w:p>
    <w:p w14:paraId="1B065AF2" w14:textId="77777777" w:rsidR="00D23099" w:rsidRPr="00D23099" w:rsidRDefault="00D23099" w:rsidP="00D23099">
      <w:pPr>
        <w:numPr>
          <w:ilvl w:val="0"/>
          <w:numId w:val="2"/>
        </w:numPr>
        <w:spacing w:before="120" w:line="240" w:lineRule="auto"/>
        <w:ind w:left="1080"/>
        <w:jc w:val="both"/>
        <w:rPr>
          <w:rFonts w:eastAsia="Times New Roman"/>
          <w:sz w:val="21"/>
          <w:szCs w:val="21"/>
          <w:lang w:val="it-IT"/>
        </w:rPr>
      </w:pPr>
      <w:r w:rsidRPr="00D23099">
        <w:rPr>
          <w:rFonts w:eastAsia="Times New Roman"/>
          <w:sz w:val="21"/>
          <w:szCs w:val="21"/>
          <w:lang w:val="it-IT"/>
        </w:rPr>
        <w:t>scambio di cripto-asset contro fondi;</w:t>
      </w:r>
    </w:p>
    <w:p w14:paraId="5DDBB47A" w14:textId="77777777" w:rsidR="00D23099" w:rsidRPr="00D23099" w:rsidRDefault="00D23099" w:rsidP="00D23099">
      <w:pPr>
        <w:numPr>
          <w:ilvl w:val="0"/>
          <w:numId w:val="2"/>
        </w:numPr>
        <w:spacing w:before="120" w:line="240" w:lineRule="auto"/>
        <w:ind w:left="1080"/>
        <w:jc w:val="both"/>
        <w:rPr>
          <w:rFonts w:eastAsia="Times New Roman"/>
          <w:sz w:val="21"/>
          <w:szCs w:val="21"/>
          <w:lang w:val="it-IT"/>
        </w:rPr>
      </w:pPr>
      <w:r w:rsidRPr="00D23099">
        <w:rPr>
          <w:rFonts w:eastAsia="Times New Roman"/>
          <w:sz w:val="21"/>
          <w:szCs w:val="21"/>
          <w:lang w:val="it-IT"/>
        </w:rPr>
        <w:t>scambio di cripto-asset contro altri cripto-asset;</w:t>
      </w:r>
    </w:p>
    <w:p w14:paraId="50A79FDC" w14:textId="205099D4" w:rsidR="00D23099" w:rsidRPr="00D23099" w:rsidRDefault="00D23099" w:rsidP="00D23099">
      <w:pPr>
        <w:numPr>
          <w:ilvl w:val="0"/>
          <w:numId w:val="2"/>
        </w:numPr>
        <w:spacing w:before="120" w:line="240" w:lineRule="auto"/>
        <w:ind w:left="1080"/>
        <w:jc w:val="both"/>
        <w:rPr>
          <w:rFonts w:eastAsia="Times New Roman"/>
          <w:sz w:val="21"/>
          <w:szCs w:val="21"/>
          <w:lang w:val="it-IT"/>
        </w:rPr>
      </w:pPr>
      <w:r w:rsidRPr="00D23099">
        <w:rPr>
          <w:rFonts w:eastAsia="Times New Roman"/>
          <w:sz w:val="21"/>
          <w:szCs w:val="21"/>
          <w:lang w:val="it-IT"/>
        </w:rPr>
        <w:t xml:space="preserve">collocamento di cripto-asset; </w:t>
      </w:r>
    </w:p>
    <w:p w14:paraId="49AC9835" w14:textId="77777777" w:rsidR="00D23099" w:rsidRPr="00D23099" w:rsidRDefault="00D23099" w:rsidP="00D23099">
      <w:pPr>
        <w:numPr>
          <w:ilvl w:val="0"/>
          <w:numId w:val="2"/>
        </w:numPr>
        <w:spacing w:before="120" w:line="240" w:lineRule="auto"/>
        <w:ind w:left="1080"/>
        <w:jc w:val="both"/>
        <w:rPr>
          <w:rFonts w:eastAsia="Times New Roman"/>
          <w:sz w:val="21"/>
          <w:szCs w:val="21"/>
          <w:lang w:val="it-IT"/>
        </w:rPr>
      </w:pPr>
      <w:r w:rsidRPr="00D23099">
        <w:rPr>
          <w:rFonts w:eastAsia="Times New Roman"/>
          <w:sz w:val="21"/>
          <w:szCs w:val="21"/>
          <w:lang w:val="it-IT"/>
        </w:rPr>
        <w:t>servizi di trasferimento di cripto-asset per conto dei clienti.</w:t>
      </w:r>
    </w:p>
    <w:p w14:paraId="7D58088F" w14:textId="77777777" w:rsidR="00D23099" w:rsidRPr="00D23099" w:rsidRDefault="00D23099" w:rsidP="00D23099">
      <w:pPr>
        <w:spacing w:after="240" w:line="420" w:lineRule="atLeast"/>
        <w:jc w:val="both"/>
        <w:rPr>
          <w:rFonts w:eastAsia="Times New Roman"/>
          <w:sz w:val="21"/>
          <w:szCs w:val="21"/>
          <w:lang w:val="it-IT"/>
        </w:rPr>
      </w:pPr>
      <w:proofErr w:type="spellStart"/>
      <w:r w:rsidRPr="00D23099">
        <w:rPr>
          <w:rFonts w:eastAsia="Times New Roman"/>
          <w:sz w:val="21"/>
          <w:szCs w:val="21"/>
          <w:lang w:val="it-IT"/>
        </w:rPr>
        <w:t>Bybit</w:t>
      </w:r>
      <w:proofErr w:type="spellEnd"/>
      <w:r w:rsidRPr="00D23099">
        <w:rPr>
          <w:rFonts w:eastAsia="Times New Roman"/>
          <w:sz w:val="21"/>
          <w:szCs w:val="21"/>
          <w:lang w:val="it-IT"/>
        </w:rPr>
        <w:t xml:space="preserve"> EU GmbH non è l’operatore di una piattaforma di negoziazione di cripto-asset né fornisce consulenza in materia di investimenti.</w:t>
      </w:r>
    </w:p>
    <w:p w14:paraId="3A141450" w14:textId="77777777" w:rsidR="00D23099" w:rsidRDefault="00D23099" w:rsidP="00021309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Arial" w:eastAsiaTheme="majorEastAsia" w:hAnsi="Arial" w:cs="Arial"/>
          <w:b/>
          <w:bCs/>
          <w:sz w:val="20"/>
          <w:szCs w:val="20"/>
          <w:lang w:val="en-US"/>
        </w:rPr>
      </w:pPr>
    </w:p>
    <w:p w14:paraId="5D1EB332" w14:textId="77777777" w:rsidR="00D23099" w:rsidRDefault="00D23099" w:rsidP="00021309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Arial" w:eastAsiaTheme="majorEastAsia" w:hAnsi="Arial" w:cs="Arial"/>
          <w:b/>
          <w:bCs/>
          <w:sz w:val="20"/>
          <w:szCs w:val="20"/>
          <w:lang w:val="en-US"/>
        </w:rPr>
      </w:pPr>
    </w:p>
    <w:p w14:paraId="7F414973" w14:textId="0E6BEAE3" w:rsidR="00021309" w:rsidRPr="00021309" w:rsidRDefault="00021309" w:rsidP="00021309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20"/>
          <w:szCs w:val="20"/>
        </w:rPr>
      </w:pPr>
      <w:proofErr w:type="spellStart"/>
      <w:r w:rsidRPr="00021309">
        <w:rPr>
          <w:rStyle w:val="normaltextrun"/>
          <w:rFonts w:ascii="Arial" w:eastAsiaTheme="majorEastAsia" w:hAnsi="Arial" w:cs="Arial"/>
          <w:b/>
          <w:bCs/>
          <w:sz w:val="20"/>
          <w:szCs w:val="20"/>
          <w:lang w:val="en-US"/>
        </w:rPr>
        <w:t>Contatti</w:t>
      </w:r>
      <w:proofErr w:type="spellEnd"/>
      <w:r w:rsidRPr="00021309">
        <w:rPr>
          <w:rStyle w:val="normaltextrun"/>
          <w:rFonts w:ascii="Arial" w:eastAsiaTheme="majorEastAsia" w:hAnsi="Arial" w:cs="Arial"/>
          <w:b/>
          <w:bCs/>
          <w:sz w:val="20"/>
          <w:szCs w:val="20"/>
          <w:lang w:val="en-US"/>
        </w:rPr>
        <w:t> </w:t>
      </w:r>
      <w:proofErr w:type="spellStart"/>
      <w:r w:rsidRPr="00021309">
        <w:rPr>
          <w:rStyle w:val="normaltextrun"/>
          <w:rFonts w:ascii="Arial" w:eastAsiaTheme="majorEastAsia" w:hAnsi="Arial" w:cs="Arial"/>
          <w:b/>
          <w:bCs/>
          <w:sz w:val="20"/>
          <w:szCs w:val="20"/>
          <w:lang w:val="en-US"/>
        </w:rPr>
        <w:t>stampa</w:t>
      </w:r>
      <w:proofErr w:type="spellEnd"/>
      <w:r w:rsidRPr="00021309">
        <w:rPr>
          <w:rStyle w:val="eop"/>
          <w:rFonts w:ascii="Arial" w:eastAsiaTheme="majorEastAsia" w:hAnsi="Arial" w:cs="Arial"/>
          <w:sz w:val="20"/>
          <w:szCs w:val="20"/>
        </w:rPr>
        <w:t> </w:t>
      </w:r>
    </w:p>
    <w:p w14:paraId="06ABADA7" w14:textId="77777777" w:rsidR="00021309" w:rsidRPr="00021309" w:rsidRDefault="00021309" w:rsidP="00021309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20"/>
          <w:szCs w:val="20"/>
        </w:rPr>
      </w:pPr>
      <w:r w:rsidRPr="00021309">
        <w:rPr>
          <w:rStyle w:val="normaltextrun"/>
          <w:rFonts w:ascii="Arial" w:eastAsiaTheme="majorEastAsia" w:hAnsi="Arial" w:cs="Arial"/>
          <w:sz w:val="20"/>
          <w:szCs w:val="20"/>
          <w:lang w:val="en-US"/>
        </w:rPr>
        <w:t>Nicolò Marcon, Alessandro Zambetti</w:t>
      </w:r>
      <w:r w:rsidRPr="00021309">
        <w:rPr>
          <w:rStyle w:val="eop"/>
          <w:rFonts w:ascii="Arial" w:eastAsiaTheme="majorEastAsia" w:hAnsi="Arial" w:cs="Arial"/>
          <w:sz w:val="20"/>
          <w:szCs w:val="20"/>
        </w:rPr>
        <w:t> </w:t>
      </w:r>
    </w:p>
    <w:p w14:paraId="0331904D" w14:textId="77777777" w:rsidR="00021309" w:rsidRPr="00021309" w:rsidRDefault="00021309" w:rsidP="00021309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Arial" w:eastAsiaTheme="majorEastAsia" w:hAnsi="Arial" w:cs="Arial"/>
          <w:sz w:val="20"/>
          <w:szCs w:val="20"/>
        </w:rPr>
      </w:pPr>
      <w:hyperlink r:id="rId12" w:tgtFrame="_blank" w:history="1">
        <w:r w:rsidRPr="00021309">
          <w:rPr>
            <w:rStyle w:val="normaltextrun"/>
            <w:rFonts w:ascii="Arial" w:eastAsiaTheme="majorEastAsia" w:hAnsi="Arial" w:cs="Arial"/>
            <w:b/>
            <w:bCs/>
            <w:color w:val="467886"/>
            <w:sz w:val="20"/>
            <w:szCs w:val="20"/>
            <w:u w:val="single"/>
            <w:lang w:val="en-US"/>
          </w:rPr>
          <w:t>bybitIT@teamlewis.com</w:t>
        </w:r>
      </w:hyperlink>
      <w:r w:rsidRPr="00021309">
        <w:rPr>
          <w:rStyle w:val="eop"/>
          <w:rFonts w:ascii="Arial" w:eastAsiaTheme="majorEastAsia" w:hAnsi="Arial" w:cs="Arial"/>
          <w:sz w:val="20"/>
          <w:szCs w:val="20"/>
        </w:rPr>
        <w:t> </w:t>
      </w:r>
    </w:p>
    <w:p w14:paraId="1F798908" w14:textId="77777777" w:rsidR="00021309" w:rsidRPr="00021309" w:rsidRDefault="00021309" w:rsidP="00021309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20"/>
          <w:szCs w:val="20"/>
        </w:rPr>
      </w:pPr>
      <w:r w:rsidRPr="00021309">
        <w:rPr>
          <w:rStyle w:val="eop"/>
          <w:rFonts w:ascii="Arial" w:eastAsiaTheme="majorEastAsia" w:hAnsi="Arial" w:cs="Arial"/>
          <w:sz w:val="20"/>
          <w:szCs w:val="20"/>
        </w:rPr>
        <w:t>Cell: +39 3389241387</w:t>
      </w:r>
    </w:p>
    <w:p w14:paraId="148AAE16" w14:textId="77777777" w:rsidR="00021309" w:rsidRPr="00021309" w:rsidRDefault="00021309" w:rsidP="00021309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20"/>
          <w:szCs w:val="20"/>
        </w:rPr>
      </w:pPr>
      <w:hyperlink r:id="rId13" w:tgtFrame="_blank" w:history="1">
        <w:r w:rsidRPr="00021309">
          <w:rPr>
            <w:rStyle w:val="normaltextrun"/>
            <w:rFonts w:ascii="Arial" w:eastAsiaTheme="majorEastAsia" w:hAnsi="Arial" w:cs="Arial"/>
            <w:b/>
            <w:bCs/>
            <w:color w:val="467886"/>
            <w:sz w:val="20"/>
            <w:szCs w:val="20"/>
            <w:u w:val="single"/>
            <w:lang w:val="en-US"/>
          </w:rPr>
          <w:t>www.bybit.eu</w:t>
        </w:r>
      </w:hyperlink>
      <w:r w:rsidRPr="00021309">
        <w:rPr>
          <w:rStyle w:val="eop"/>
          <w:rFonts w:ascii="Arial" w:eastAsiaTheme="majorEastAsia" w:hAnsi="Arial" w:cs="Arial"/>
          <w:sz w:val="20"/>
          <w:szCs w:val="20"/>
        </w:rPr>
        <w:t> </w:t>
      </w:r>
    </w:p>
    <w:p w14:paraId="175957EA" w14:textId="77777777" w:rsidR="002E1669" w:rsidRPr="00021309" w:rsidRDefault="002E1669">
      <w:pPr>
        <w:rPr>
          <w:sz w:val="20"/>
          <w:szCs w:val="20"/>
        </w:rPr>
      </w:pPr>
    </w:p>
    <w:p w14:paraId="7BB35B03" w14:textId="77777777" w:rsidR="00D23099" w:rsidRPr="00021309" w:rsidRDefault="00D23099" w:rsidP="00D23099">
      <w:pPr>
        <w:jc w:val="both"/>
        <w:rPr>
          <w:color w:val="202020"/>
          <w:sz w:val="20"/>
          <w:szCs w:val="20"/>
        </w:rPr>
      </w:pPr>
      <w:r>
        <w:rPr>
          <w:rStyle w:val="Enfasigrassetto"/>
          <w:sz w:val="21"/>
          <w:szCs w:val="21"/>
        </w:rPr>
        <w:t>Disclaimer:</w:t>
      </w:r>
      <w:r>
        <w:rPr>
          <w:sz w:val="21"/>
          <w:szCs w:val="21"/>
        </w:rPr>
        <w:t xml:space="preserve"> Il </w:t>
      </w:r>
      <w:proofErr w:type="spellStart"/>
      <w:r>
        <w:rPr>
          <w:sz w:val="21"/>
          <w:szCs w:val="21"/>
        </w:rPr>
        <w:t>presente</w:t>
      </w:r>
      <w:proofErr w:type="spellEnd"/>
      <w:r>
        <w:rPr>
          <w:sz w:val="21"/>
          <w:szCs w:val="21"/>
        </w:rPr>
        <w:t xml:space="preserve"> </w:t>
      </w:r>
      <w:proofErr w:type="spellStart"/>
      <w:r>
        <w:rPr>
          <w:sz w:val="21"/>
          <w:szCs w:val="21"/>
        </w:rPr>
        <w:t>comunicato</w:t>
      </w:r>
      <w:proofErr w:type="spellEnd"/>
      <w:r>
        <w:rPr>
          <w:sz w:val="21"/>
          <w:szCs w:val="21"/>
        </w:rPr>
        <w:t xml:space="preserve"> </w:t>
      </w:r>
      <w:proofErr w:type="spellStart"/>
      <w:r>
        <w:rPr>
          <w:sz w:val="21"/>
          <w:szCs w:val="21"/>
        </w:rPr>
        <w:t>stampa</w:t>
      </w:r>
      <w:proofErr w:type="spellEnd"/>
      <w:r>
        <w:rPr>
          <w:sz w:val="21"/>
          <w:szCs w:val="21"/>
        </w:rPr>
        <w:t xml:space="preserve"> è </w:t>
      </w:r>
      <w:proofErr w:type="spellStart"/>
      <w:r>
        <w:rPr>
          <w:sz w:val="21"/>
          <w:szCs w:val="21"/>
        </w:rPr>
        <w:t>fornito</w:t>
      </w:r>
      <w:proofErr w:type="spellEnd"/>
      <w:r>
        <w:rPr>
          <w:sz w:val="21"/>
          <w:szCs w:val="21"/>
        </w:rPr>
        <w:t xml:space="preserve"> </w:t>
      </w:r>
      <w:proofErr w:type="spellStart"/>
      <w:r>
        <w:rPr>
          <w:sz w:val="21"/>
          <w:szCs w:val="21"/>
        </w:rPr>
        <w:t>esclusivamente</w:t>
      </w:r>
      <w:proofErr w:type="spellEnd"/>
      <w:r>
        <w:rPr>
          <w:sz w:val="21"/>
          <w:szCs w:val="21"/>
        </w:rPr>
        <w:t xml:space="preserve"> a </w:t>
      </w:r>
      <w:proofErr w:type="spellStart"/>
      <w:r>
        <w:rPr>
          <w:sz w:val="21"/>
          <w:szCs w:val="21"/>
        </w:rPr>
        <w:t>scopo</w:t>
      </w:r>
      <w:proofErr w:type="spellEnd"/>
      <w:r>
        <w:rPr>
          <w:sz w:val="21"/>
          <w:szCs w:val="21"/>
        </w:rPr>
        <w:t xml:space="preserve"> </w:t>
      </w:r>
      <w:proofErr w:type="spellStart"/>
      <w:r>
        <w:rPr>
          <w:sz w:val="21"/>
          <w:szCs w:val="21"/>
        </w:rPr>
        <w:t>informativo</w:t>
      </w:r>
      <w:proofErr w:type="spellEnd"/>
      <w:r>
        <w:rPr>
          <w:sz w:val="21"/>
          <w:szCs w:val="21"/>
        </w:rPr>
        <w:t xml:space="preserve"> e non </w:t>
      </w:r>
      <w:proofErr w:type="spellStart"/>
      <w:r>
        <w:rPr>
          <w:sz w:val="21"/>
          <w:szCs w:val="21"/>
        </w:rPr>
        <w:t>costituisce</w:t>
      </w:r>
      <w:proofErr w:type="spellEnd"/>
      <w:r>
        <w:rPr>
          <w:sz w:val="21"/>
          <w:szCs w:val="21"/>
        </w:rPr>
        <w:t xml:space="preserve"> </w:t>
      </w:r>
      <w:proofErr w:type="spellStart"/>
      <w:r>
        <w:rPr>
          <w:sz w:val="21"/>
          <w:szCs w:val="21"/>
        </w:rPr>
        <w:t>consulenza</w:t>
      </w:r>
      <w:proofErr w:type="spellEnd"/>
      <w:r>
        <w:rPr>
          <w:sz w:val="21"/>
          <w:szCs w:val="21"/>
        </w:rPr>
        <w:t xml:space="preserve"> in </w:t>
      </w:r>
      <w:proofErr w:type="spellStart"/>
      <w:r>
        <w:rPr>
          <w:sz w:val="21"/>
          <w:szCs w:val="21"/>
        </w:rPr>
        <w:t>materia</w:t>
      </w:r>
      <w:proofErr w:type="spellEnd"/>
      <w:r>
        <w:rPr>
          <w:sz w:val="21"/>
          <w:szCs w:val="21"/>
        </w:rPr>
        <w:t xml:space="preserve"> di </w:t>
      </w:r>
      <w:proofErr w:type="spellStart"/>
      <w:r>
        <w:rPr>
          <w:sz w:val="21"/>
          <w:szCs w:val="21"/>
        </w:rPr>
        <w:t>investimenti</w:t>
      </w:r>
      <w:proofErr w:type="spellEnd"/>
      <w:r>
        <w:rPr>
          <w:sz w:val="21"/>
          <w:szCs w:val="21"/>
        </w:rPr>
        <w:t xml:space="preserve"> né </w:t>
      </w:r>
      <w:proofErr w:type="spellStart"/>
      <w:r>
        <w:rPr>
          <w:sz w:val="21"/>
          <w:szCs w:val="21"/>
        </w:rPr>
        <w:t>un’offerta</w:t>
      </w:r>
      <w:proofErr w:type="spellEnd"/>
      <w:r>
        <w:rPr>
          <w:sz w:val="21"/>
          <w:szCs w:val="21"/>
        </w:rPr>
        <w:t xml:space="preserve"> di </w:t>
      </w:r>
      <w:proofErr w:type="spellStart"/>
      <w:r>
        <w:rPr>
          <w:sz w:val="21"/>
          <w:szCs w:val="21"/>
        </w:rPr>
        <w:t>acquisto</w:t>
      </w:r>
      <w:proofErr w:type="spellEnd"/>
      <w:r>
        <w:rPr>
          <w:sz w:val="21"/>
          <w:szCs w:val="21"/>
        </w:rPr>
        <w:t xml:space="preserve"> o </w:t>
      </w:r>
      <w:proofErr w:type="spellStart"/>
      <w:r>
        <w:rPr>
          <w:sz w:val="21"/>
          <w:szCs w:val="21"/>
        </w:rPr>
        <w:t>vendita</w:t>
      </w:r>
      <w:proofErr w:type="spellEnd"/>
      <w:r>
        <w:rPr>
          <w:sz w:val="21"/>
          <w:szCs w:val="21"/>
        </w:rPr>
        <w:t xml:space="preserve"> di asset </w:t>
      </w:r>
      <w:proofErr w:type="spellStart"/>
      <w:r>
        <w:rPr>
          <w:sz w:val="21"/>
          <w:szCs w:val="21"/>
        </w:rPr>
        <w:t>digitali</w:t>
      </w:r>
      <w:proofErr w:type="spellEnd"/>
      <w:r>
        <w:rPr>
          <w:sz w:val="21"/>
          <w:szCs w:val="21"/>
        </w:rPr>
        <w:t xml:space="preserve">. I </w:t>
      </w:r>
      <w:proofErr w:type="spellStart"/>
      <w:r>
        <w:rPr>
          <w:sz w:val="21"/>
          <w:szCs w:val="21"/>
        </w:rPr>
        <w:t>prodotti</w:t>
      </w:r>
      <w:proofErr w:type="spellEnd"/>
      <w:r>
        <w:rPr>
          <w:sz w:val="21"/>
          <w:szCs w:val="21"/>
        </w:rPr>
        <w:t xml:space="preserve"> e </w:t>
      </w:r>
      <w:proofErr w:type="spellStart"/>
      <w:r>
        <w:rPr>
          <w:sz w:val="21"/>
          <w:szCs w:val="21"/>
        </w:rPr>
        <w:t>servizi</w:t>
      </w:r>
      <w:proofErr w:type="spellEnd"/>
      <w:r>
        <w:rPr>
          <w:sz w:val="21"/>
          <w:szCs w:val="21"/>
        </w:rPr>
        <w:t xml:space="preserve"> qui </w:t>
      </w:r>
      <w:proofErr w:type="spellStart"/>
      <w:r>
        <w:rPr>
          <w:sz w:val="21"/>
          <w:szCs w:val="21"/>
        </w:rPr>
        <w:t>menzionati</w:t>
      </w:r>
      <w:proofErr w:type="spellEnd"/>
      <w:r>
        <w:rPr>
          <w:sz w:val="21"/>
          <w:szCs w:val="21"/>
        </w:rPr>
        <w:t xml:space="preserve"> </w:t>
      </w:r>
      <w:proofErr w:type="spellStart"/>
      <w:r>
        <w:rPr>
          <w:sz w:val="21"/>
          <w:szCs w:val="21"/>
        </w:rPr>
        <w:t>sono</w:t>
      </w:r>
      <w:proofErr w:type="spellEnd"/>
      <w:r>
        <w:rPr>
          <w:sz w:val="21"/>
          <w:szCs w:val="21"/>
        </w:rPr>
        <w:t xml:space="preserve"> </w:t>
      </w:r>
      <w:proofErr w:type="spellStart"/>
      <w:r>
        <w:rPr>
          <w:sz w:val="21"/>
          <w:szCs w:val="21"/>
        </w:rPr>
        <w:t>soggetti</w:t>
      </w:r>
      <w:proofErr w:type="spellEnd"/>
      <w:r>
        <w:rPr>
          <w:sz w:val="21"/>
          <w:szCs w:val="21"/>
        </w:rPr>
        <w:t xml:space="preserve"> alle </w:t>
      </w:r>
      <w:proofErr w:type="spellStart"/>
      <w:r>
        <w:rPr>
          <w:sz w:val="21"/>
          <w:szCs w:val="21"/>
        </w:rPr>
        <w:t>leggi</w:t>
      </w:r>
      <w:proofErr w:type="spellEnd"/>
      <w:r>
        <w:rPr>
          <w:sz w:val="21"/>
          <w:szCs w:val="21"/>
        </w:rPr>
        <w:t xml:space="preserve"> e ai </w:t>
      </w:r>
      <w:proofErr w:type="spellStart"/>
      <w:r>
        <w:rPr>
          <w:sz w:val="21"/>
          <w:szCs w:val="21"/>
        </w:rPr>
        <w:t>regolamenti</w:t>
      </w:r>
      <w:proofErr w:type="spellEnd"/>
      <w:r>
        <w:rPr>
          <w:sz w:val="21"/>
          <w:szCs w:val="21"/>
        </w:rPr>
        <w:t xml:space="preserve"> </w:t>
      </w:r>
      <w:proofErr w:type="spellStart"/>
      <w:r>
        <w:rPr>
          <w:sz w:val="21"/>
          <w:szCs w:val="21"/>
        </w:rPr>
        <w:t>applicabili</w:t>
      </w:r>
      <w:proofErr w:type="spellEnd"/>
      <w:r>
        <w:rPr>
          <w:sz w:val="21"/>
          <w:szCs w:val="21"/>
        </w:rPr>
        <w:t xml:space="preserve"> </w:t>
      </w:r>
      <w:proofErr w:type="spellStart"/>
      <w:r>
        <w:rPr>
          <w:sz w:val="21"/>
          <w:szCs w:val="21"/>
        </w:rPr>
        <w:t>nelle</w:t>
      </w:r>
      <w:proofErr w:type="spellEnd"/>
      <w:r>
        <w:rPr>
          <w:sz w:val="21"/>
          <w:szCs w:val="21"/>
        </w:rPr>
        <w:t xml:space="preserve"> </w:t>
      </w:r>
      <w:proofErr w:type="spellStart"/>
      <w:r>
        <w:rPr>
          <w:sz w:val="21"/>
          <w:szCs w:val="21"/>
        </w:rPr>
        <w:t>giurisdizioni</w:t>
      </w:r>
      <w:proofErr w:type="spellEnd"/>
      <w:r>
        <w:rPr>
          <w:sz w:val="21"/>
          <w:szCs w:val="21"/>
        </w:rPr>
        <w:t xml:space="preserve"> di </w:t>
      </w:r>
      <w:proofErr w:type="spellStart"/>
      <w:r>
        <w:rPr>
          <w:sz w:val="21"/>
          <w:szCs w:val="21"/>
        </w:rPr>
        <w:t>riferimento</w:t>
      </w:r>
      <w:proofErr w:type="spellEnd"/>
      <w:r>
        <w:rPr>
          <w:sz w:val="21"/>
          <w:szCs w:val="21"/>
        </w:rPr>
        <w:t xml:space="preserve"> e </w:t>
      </w:r>
      <w:proofErr w:type="spellStart"/>
      <w:r>
        <w:rPr>
          <w:sz w:val="21"/>
          <w:szCs w:val="21"/>
        </w:rPr>
        <w:t>potrebbero</w:t>
      </w:r>
      <w:proofErr w:type="spellEnd"/>
      <w:r>
        <w:rPr>
          <w:sz w:val="21"/>
          <w:szCs w:val="21"/>
        </w:rPr>
        <w:t xml:space="preserve"> non </w:t>
      </w:r>
      <w:proofErr w:type="spellStart"/>
      <w:r>
        <w:rPr>
          <w:sz w:val="21"/>
          <w:szCs w:val="21"/>
        </w:rPr>
        <w:t>essere</w:t>
      </w:r>
      <w:proofErr w:type="spellEnd"/>
      <w:r>
        <w:rPr>
          <w:sz w:val="21"/>
          <w:szCs w:val="21"/>
        </w:rPr>
        <w:t xml:space="preserve"> </w:t>
      </w:r>
      <w:proofErr w:type="spellStart"/>
      <w:r>
        <w:rPr>
          <w:sz w:val="21"/>
          <w:szCs w:val="21"/>
        </w:rPr>
        <w:t>disponibili</w:t>
      </w:r>
      <w:proofErr w:type="spellEnd"/>
      <w:r>
        <w:rPr>
          <w:sz w:val="21"/>
          <w:szCs w:val="21"/>
        </w:rPr>
        <w:t xml:space="preserve"> in </w:t>
      </w:r>
      <w:proofErr w:type="spellStart"/>
      <w:r>
        <w:rPr>
          <w:sz w:val="21"/>
          <w:szCs w:val="21"/>
        </w:rPr>
        <w:t>alcune</w:t>
      </w:r>
      <w:proofErr w:type="spellEnd"/>
      <w:r>
        <w:rPr>
          <w:sz w:val="21"/>
          <w:szCs w:val="21"/>
        </w:rPr>
        <w:t xml:space="preserve"> </w:t>
      </w:r>
      <w:proofErr w:type="spellStart"/>
      <w:r>
        <w:rPr>
          <w:sz w:val="21"/>
          <w:szCs w:val="21"/>
        </w:rPr>
        <w:t>regioni</w:t>
      </w:r>
      <w:proofErr w:type="spellEnd"/>
      <w:r>
        <w:rPr>
          <w:sz w:val="21"/>
          <w:szCs w:val="21"/>
        </w:rPr>
        <w:t>.</w:t>
      </w:r>
    </w:p>
    <w:p w14:paraId="45007495" w14:textId="77777777" w:rsidR="002E1669" w:rsidRPr="00021309" w:rsidRDefault="002E1669">
      <w:pPr>
        <w:jc w:val="both"/>
        <w:rPr>
          <w:color w:val="202020"/>
          <w:sz w:val="20"/>
          <w:szCs w:val="20"/>
        </w:rPr>
      </w:pPr>
    </w:p>
    <w:p w14:paraId="3D85526B" w14:textId="77777777" w:rsidR="002E1669" w:rsidRDefault="002E1669">
      <w:pPr>
        <w:jc w:val="both"/>
        <w:rPr>
          <w:color w:val="202020"/>
          <w:sz w:val="16"/>
          <w:szCs w:val="16"/>
        </w:rPr>
      </w:pPr>
    </w:p>
    <w:p w14:paraId="3EB7A7FD" w14:textId="77777777" w:rsidR="002E1669" w:rsidRDefault="002E1669">
      <w:pPr>
        <w:jc w:val="both"/>
        <w:rPr>
          <w:color w:val="202020"/>
          <w:sz w:val="26"/>
          <w:szCs w:val="26"/>
        </w:rPr>
      </w:pPr>
    </w:p>
    <w:p w14:paraId="26B47BF0" w14:textId="77777777" w:rsidR="002E1669" w:rsidRDefault="002E1669">
      <w:pPr>
        <w:spacing w:before="240" w:after="240"/>
        <w:jc w:val="both"/>
        <w:rPr>
          <w:color w:val="202020"/>
          <w:sz w:val="26"/>
          <w:szCs w:val="26"/>
        </w:rPr>
      </w:pPr>
    </w:p>
    <w:p w14:paraId="750376A8" w14:textId="77777777" w:rsidR="002E1669" w:rsidRDefault="002E1669"/>
    <w:sectPr w:rsidR="002E1669">
      <w:headerReference w:type="default" r:id="rId14"/>
      <w:footerReference w:type="default" r:id="rId15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9AE8C39" w14:textId="77777777" w:rsidR="006E452C" w:rsidRDefault="006E452C">
      <w:pPr>
        <w:spacing w:line="240" w:lineRule="auto"/>
      </w:pPr>
      <w:r>
        <w:separator/>
      </w:r>
    </w:p>
  </w:endnote>
  <w:endnote w:type="continuationSeparator" w:id="0">
    <w:p w14:paraId="25C03F3B" w14:textId="77777777" w:rsidR="006E452C" w:rsidRDefault="006E452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3BCECD51-6338-7244-AB6E-7E779B8F434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DC4E04F9-4067-CD4C-AE53-09333894890B}"/>
    <w:embedBold r:id="rId3" w:fontKey="{203588A7-9A7D-AB4D-8EC2-870DC0CC7254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4" w:fontKey="{B9C80FFC-62FD-5048-98E2-D6D1B2375B13}"/>
    <w:embedBold r:id="rId5" w:fontKey="{0C3D790C-D316-4145-BFB0-15913DCEA743}"/>
    <w:embedItalic r:id="rId6" w:fontKey="{EBF59DEF-A975-2748-AD48-1D57BB9E71B7}"/>
  </w:font>
  <w:font w:name="Inter">
    <w:altName w:val="Calibri"/>
    <w:panose1 w:val="020B0604020202020204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72D1F9A4-2583-D84F-87CE-D3DB43746AF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0" w:fontKey="{106FD0FE-63E5-9E49-974D-2683BF2C7E1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28D091" w14:textId="77777777" w:rsidR="002E1669" w:rsidRDefault="002E1669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A665552" w14:textId="77777777" w:rsidR="006E452C" w:rsidRDefault="006E452C">
      <w:pPr>
        <w:spacing w:line="240" w:lineRule="auto"/>
      </w:pPr>
      <w:r>
        <w:separator/>
      </w:r>
    </w:p>
  </w:footnote>
  <w:footnote w:type="continuationSeparator" w:id="0">
    <w:p w14:paraId="234FC69B" w14:textId="77777777" w:rsidR="006E452C" w:rsidRDefault="006E452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978B05" w14:textId="77777777" w:rsidR="002E1669" w:rsidRDefault="00000000">
    <w:r>
      <w:rPr>
        <w:noProof/>
      </w:rPr>
      <w:drawing>
        <wp:inline distT="114300" distB="114300" distL="114300" distR="114300" wp14:anchorId="09F8C60F" wp14:editId="27D2E353">
          <wp:extent cx="928688" cy="683617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28688" cy="68361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7B57386"/>
    <w:multiLevelType w:val="multilevel"/>
    <w:tmpl w:val="42F403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2D2778FF"/>
    <w:multiLevelType w:val="multilevel"/>
    <w:tmpl w:val="318883F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465930215">
    <w:abstractNumId w:val="1"/>
  </w:num>
  <w:num w:numId="2" w16cid:durableId="75112058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1669"/>
    <w:rsid w:val="00021309"/>
    <w:rsid w:val="00087DD8"/>
    <w:rsid w:val="000D6BCA"/>
    <w:rsid w:val="00111988"/>
    <w:rsid w:val="001B16A1"/>
    <w:rsid w:val="00261DB0"/>
    <w:rsid w:val="002E1669"/>
    <w:rsid w:val="00377556"/>
    <w:rsid w:val="004A168F"/>
    <w:rsid w:val="004F0580"/>
    <w:rsid w:val="006E452C"/>
    <w:rsid w:val="007D2A42"/>
    <w:rsid w:val="00804F39"/>
    <w:rsid w:val="008120B1"/>
    <w:rsid w:val="008939B5"/>
    <w:rsid w:val="009E39A4"/>
    <w:rsid w:val="00A84A1C"/>
    <w:rsid w:val="00AA2AF6"/>
    <w:rsid w:val="00AB3F5C"/>
    <w:rsid w:val="00B719AD"/>
    <w:rsid w:val="00C300ED"/>
    <w:rsid w:val="00D23099"/>
    <w:rsid w:val="00E73853"/>
    <w:rsid w:val="00E75261"/>
    <w:rsid w:val="2ED722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05165C76"/>
  <w15:docId w15:val="{3460B1A6-FE9F-9949-B06F-18551FED34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it-IT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olo2">
    <w:name w:val="heading 2"/>
    <w:basedOn w:val="Normale"/>
    <w:next w:val="Normale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olo3">
    <w:name w:val="heading 3"/>
    <w:basedOn w:val="Normale"/>
    <w:next w:val="Normale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Pr>
      <w:sz w:val="20"/>
      <w:szCs w:val="20"/>
    </w:rPr>
  </w:style>
  <w:style w:type="character" w:styleId="Rimandocommento">
    <w:name w:val="annotation reference"/>
    <w:basedOn w:val="Carpredefinitoparagrafo"/>
    <w:uiPriority w:val="99"/>
    <w:semiHidden/>
    <w:unhideWhenUsed/>
    <w:rPr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4F0580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4F0580"/>
    <w:rPr>
      <w:color w:val="605E5C"/>
      <w:shd w:val="clear" w:color="auto" w:fill="E1DFDD"/>
    </w:rPr>
  </w:style>
  <w:style w:type="paragraph" w:customStyle="1" w:styleId="paragraph">
    <w:name w:val="paragraph"/>
    <w:basedOn w:val="Normale"/>
    <w:rsid w:val="000213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it-IT"/>
    </w:rPr>
  </w:style>
  <w:style w:type="character" w:customStyle="1" w:styleId="normaltextrun">
    <w:name w:val="normaltextrun"/>
    <w:basedOn w:val="Carpredefinitoparagrafo"/>
    <w:rsid w:val="00021309"/>
  </w:style>
  <w:style w:type="character" w:customStyle="1" w:styleId="eop">
    <w:name w:val="eop"/>
    <w:basedOn w:val="Carpredefinitoparagrafo"/>
    <w:rsid w:val="00021309"/>
  </w:style>
  <w:style w:type="character" w:styleId="Collegamentovisitato">
    <w:name w:val="FollowedHyperlink"/>
    <w:basedOn w:val="Carpredefinitoparagrafo"/>
    <w:uiPriority w:val="99"/>
    <w:semiHidden/>
    <w:unhideWhenUsed/>
    <w:rsid w:val="00021309"/>
    <w:rPr>
      <w:color w:val="800080" w:themeColor="followedHyperlink"/>
      <w:u w:val="single"/>
    </w:rPr>
  </w:style>
  <w:style w:type="paragraph" w:customStyle="1" w:styleId="mb-4">
    <w:name w:val="mb-4"/>
    <w:basedOn w:val="Normale"/>
    <w:rsid w:val="004A16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it-IT"/>
    </w:rPr>
  </w:style>
  <w:style w:type="character" w:styleId="Enfasigrassetto">
    <w:name w:val="Strong"/>
    <w:basedOn w:val="Carpredefinitoparagrafo"/>
    <w:uiPriority w:val="22"/>
    <w:qFormat/>
    <w:rsid w:val="00D2309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://www.bybit.eu/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mailto:bybitIT@teamlewis.com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bybit.eu/de-EU/" TargetMode="External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hyperlink" Target="https://www.bybit.eu/de-EU/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A2948ED648F6B48AAF2A4F0F690D2A4" ma:contentTypeVersion="" ma:contentTypeDescription="Create a new document." ma:contentTypeScope="" ma:versionID="619215dcdd872cd78288390d099dc9b4">
  <xsd:schema xmlns:xsd="http://www.w3.org/2001/XMLSchema" xmlns:xs="http://www.w3.org/2001/XMLSchema" xmlns:p="http://schemas.microsoft.com/office/2006/metadata/properties" xmlns:ns2="12e5f8c0-cee7-4117-a260-6fb1ed4d85b9" xmlns:ns3="2DC97B2D-C901-48E1-B691-7B74F2D1A4EF" xmlns:ns4="2dc97b2d-c901-48e1-b691-7b74f2d1a4ef" targetNamespace="http://schemas.microsoft.com/office/2006/metadata/properties" ma:root="true" ma:fieldsID="4a9b948396e23bfac55ddb0e20b4d946" ns2:_="" ns3:_="" ns4:_="">
    <xsd:import namespace="12e5f8c0-cee7-4117-a260-6fb1ed4d85b9"/>
    <xsd:import namespace="2DC97B2D-C901-48E1-B691-7B74F2D1A4EF"/>
    <xsd:import namespace="2dc97b2d-c901-48e1-b691-7b74f2d1a4ef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4:MediaServiceSearchProperties" minOccurs="0"/>
                <xsd:element ref="ns4:MediaServiceDateTaken" minOccurs="0"/>
                <xsd:element ref="ns4:lcf76f155ced4ddcb4097134ff3c332f" minOccurs="0"/>
                <xsd:element ref="ns2:TaxCatchAll" minOccurs="0"/>
                <xsd:element ref="ns4:MediaServiceGenerationTime" minOccurs="0"/>
                <xsd:element ref="ns4:MediaServiceEventHashCode" minOccurs="0"/>
                <xsd:element ref="ns4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e5f8c0-cee7-4117-a260-6fb1ed4d85b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8146FF86-C44E-4965-A7DA-CDCC8E46EA76}" ma:internalName="TaxCatchAll" ma:showField="CatchAllData" ma:web="{22cd975a-f0be-4ed7-b44b-03bc01be5691}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DC97B2D-C901-48E1-B691-7B74F2D1A4E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dc97b2d-c901-48e1-b691-7b74f2d1a4ef" elementFormDefault="qualified">
    <xsd:import namespace="http://schemas.microsoft.com/office/2006/documentManagement/types"/>
    <xsd:import namespace="http://schemas.microsoft.com/office/infopath/2007/PartnerControls"/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a1031204-b4c4-4586-a21d-e39fdc9fec6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dc97b2d-c901-48e1-b691-7b74f2d1a4ef">
      <Terms xmlns="http://schemas.microsoft.com/office/infopath/2007/PartnerControls"/>
    </lcf76f155ced4ddcb4097134ff3c332f>
    <TaxCatchAll xmlns="12e5f8c0-cee7-4117-a260-6fb1ed4d85b9" xsi:nil="true"/>
  </documentManagement>
</p:properties>
</file>

<file path=customXml/itemProps1.xml><?xml version="1.0" encoding="utf-8"?>
<ds:datastoreItem xmlns:ds="http://schemas.openxmlformats.org/officeDocument/2006/customXml" ds:itemID="{12F63A56-3BB6-401A-8FA0-052DBF420E1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2e5f8c0-cee7-4117-a260-6fb1ed4d85b9"/>
    <ds:schemaRef ds:uri="2DC97B2D-C901-48E1-B691-7B74F2D1A4EF"/>
    <ds:schemaRef ds:uri="2dc97b2d-c901-48e1-b691-7b74f2d1a4e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03E15C0-DB26-4C85-A44B-E452145D550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7486F16-3CB9-4322-AF3F-52C004E8C2B8}">
  <ds:schemaRefs>
    <ds:schemaRef ds:uri="http://schemas.microsoft.com/office/2006/metadata/properties"/>
    <ds:schemaRef ds:uri="http://schemas.microsoft.com/office/infopath/2007/PartnerControls"/>
    <ds:schemaRef ds:uri="2dc97b2d-c901-48e1-b691-7b74f2d1a4ef"/>
    <ds:schemaRef ds:uri="12e5f8c0-cee7-4117-a260-6fb1ed4d85b9"/>
  </ds:schemaRefs>
</ds:datastoreItem>
</file>

<file path=docMetadata/LabelInfo.xml><?xml version="1.0" encoding="utf-8"?>
<clbl:labelList xmlns:clbl="http://schemas.microsoft.com/office/2020/mipLabelMetadata">
  <clbl:label id="{a9356321-e54f-4655-bb09-c2c05100a743}" enabled="1" method="Standard" siteId="{633cbf82-b979-478d-8f42-ffc892e59dc3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3</Pages>
  <Words>641</Words>
  <Characters>3729</Characters>
  <Application>Microsoft Office Word</Application>
  <DocSecurity>0</DocSecurity>
  <Lines>74</Lines>
  <Paragraphs>30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Alessandro Zambetti</cp:lastModifiedBy>
  <cp:revision>14</cp:revision>
  <dcterms:created xsi:type="dcterms:W3CDTF">2026-03-04T10:25:00Z</dcterms:created>
  <dcterms:modified xsi:type="dcterms:W3CDTF">2026-03-16T17:25:00Z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0x0101009A2948ED648F6B48AAF2A4F0F690D2A4</vt:lpwstr>
  </property>
  <property fmtid="{D5CDD505-2E9C-101B-9397-08002B2CF9AE}" pid="3" name="MediaServiceImageTags">
    <vt:lpwstr/>
  </property>
</Properties>
</file>