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3EAE93B2" w:rsidR="006450DE" w:rsidRDefault="006450DE" w:rsidP="00017457">
      <w:pPr>
        <w:spacing w:before="240" w:after="240" w:line="300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="0032726C">
        <w:rPr>
          <w:color w:val="000000"/>
        </w:rPr>
        <w:t xml:space="preserve">                    </w:t>
      </w:r>
      <w:r>
        <w:rPr>
          <w:color w:val="000000"/>
        </w:rPr>
        <w:t xml:space="preserve"> </w:t>
      </w:r>
      <w:r w:rsidRPr="00164DBA">
        <w:rPr>
          <w:color w:val="000000"/>
        </w:rPr>
        <w:t xml:space="preserve">Warszawa </w:t>
      </w:r>
      <w:r w:rsidR="0032726C" w:rsidRPr="00E25C18">
        <w:rPr>
          <w:color w:val="000000"/>
        </w:rPr>
        <w:t>1</w:t>
      </w:r>
      <w:r w:rsidR="007E0695" w:rsidRPr="00E25C18">
        <w:rPr>
          <w:color w:val="000000"/>
        </w:rPr>
        <w:t>6</w:t>
      </w:r>
      <w:r w:rsidR="000F0C54" w:rsidRPr="00E25C18">
        <w:rPr>
          <w:color w:val="000000"/>
        </w:rPr>
        <w:t>.</w:t>
      </w:r>
      <w:r w:rsidR="000F0C54">
        <w:rPr>
          <w:color w:val="000000"/>
        </w:rPr>
        <w:t>0</w:t>
      </w:r>
      <w:r w:rsidR="00953712">
        <w:rPr>
          <w:color w:val="000000"/>
        </w:rPr>
        <w:t>3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68A7C649" w14:textId="1D39C33C" w:rsidR="006A06AD" w:rsidRDefault="004653DE" w:rsidP="009F7E6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756F9A">
        <w:rPr>
          <w:rFonts w:ascii="Calibri" w:hAnsi="Calibri" w:cs="Calibri"/>
          <w:b/>
          <w:bCs/>
          <w:sz w:val="28"/>
          <w:szCs w:val="28"/>
        </w:rPr>
        <w:t>Mapa kondycji płatniczej firm</w:t>
      </w:r>
      <w:r w:rsidR="006A06AD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1A0F91">
        <w:rPr>
          <w:rFonts w:ascii="Calibri" w:hAnsi="Calibri" w:cs="Calibri"/>
          <w:b/>
          <w:bCs/>
          <w:sz w:val="28"/>
          <w:szCs w:val="28"/>
        </w:rPr>
        <w:t xml:space="preserve">Sprawdź </w:t>
      </w:r>
      <w:r w:rsidR="003717D9">
        <w:rPr>
          <w:rFonts w:ascii="Calibri" w:hAnsi="Calibri" w:cs="Calibri"/>
          <w:b/>
          <w:bCs/>
          <w:sz w:val="28"/>
          <w:szCs w:val="28"/>
        </w:rPr>
        <w:t>w jakim regionie najlepiej robić interesy</w:t>
      </w:r>
    </w:p>
    <w:p w14:paraId="06F2532C" w14:textId="3EFE059E" w:rsidR="0089220B" w:rsidRDefault="006A06AD" w:rsidP="00827427">
      <w:pPr>
        <w:jc w:val="both"/>
        <w:rPr>
          <w:b/>
          <w:bCs/>
          <w:sz w:val="24"/>
          <w:szCs w:val="24"/>
        </w:rPr>
      </w:pPr>
      <w:r w:rsidRPr="00CD6862">
        <w:rPr>
          <w:b/>
          <w:bCs/>
          <w:sz w:val="24"/>
          <w:szCs w:val="24"/>
        </w:rPr>
        <w:t xml:space="preserve">Choć po 2025 roku liczba niesolidnych płatników zaczęła spadać, kwota nieuregulowanych zobowiązań </w:t>
      </w:r>
      <w:r w:rsidR="00756F9A" w:rsidRPr="00CD6862">
        <w:rPr>
          <w:b/>
          <w:bCs/>
          <w:sz w:val="24"/>
          <w:szCs w:val="24"/>
        </w:rPr>
        <w:t xml:space="preserve">firm </w:t>
      </w:r>
      <w:r w:rsidRPr="00CD6862">
        <w:rPr>
          <w:b/>
          <w:bCs/>
          <w:sz w:val="24"/>
          <w:szCs w:val="24"/>
        </w:rPr>
        <w:t>wciąż rośnie. Na koniec 2025 roku zaległe długi przedsiębiorstw przekroczyły 45 mld zł, obciążając konta ponad 309 tys. podmiotów.</w:t>
      </w:r>
      <w:r w:rsidR="00756F9A" w:rsidRPr="00CD6862">
        <w:rPr>
          <w:b/>
          <w:bCs/>
          <w:sz w:val="24"/>
          <w:szCs w:val="24"/>
        </w:rPr>
        <w:t xml:space="preserve"> </w:t>
      </w:r>
      <w:r w:rsidR="00613F39">
        <w:rPr>
          <w:b/>
          <w:bCs/>
          <w:sz w:val="24"/>
          <w:szCs w:val="24"/>
        </w:rPr>
        <w:t>W jakich regionach jest najgorzej</w:t>
      </w:r>
      <w:r w:rsidR="00CD6862" w:rsidRPr="00CD6862">
        <w:rPr>
          <w:b/>
          <w:bCs/>
          <w:sz w:val="24"/>
          <w:szCs w:val="24"/>
        </w:rPr>
        <w:t xml:space="preserve">? </w:t>
      </w:r>
      <w:r w:rsidR="00853618">
        <w:rPr>
          <w:b/>
          <w:bCs/>
          <w:sz w:val="24"/>
          <w:szCs w:val="24"/>
        </w:rPr>
        <w:t>Najnowsze dane</w:t>
      </w:r>
      <w:r w:rsidR="00CD6862" w:rsidRPr="00CD6862">
        <w:rPr>
          <w:b/>
          <w:bCs/>
          <w:sz w:val="24"/>
          <w:szCs w:val="24"/>
        </w:rPr>
        <w:t xml:space="preserve"> BIG InfoMonitor i BIK </w:t>
      </w:r>
      <w:r w:rsidR="00853618">
        <w:rPr>
          <w:b/>
          <w:bCs/>
          <w:sz w:val="24"/>
          <w:szCs w:val="24"/>
        </w:rPr>
        <w:t>pokazują Polską mapę długu -</w:t>
      </w:r>
      <w:r w:rsidR="00CD6862" w:rsidRPr="00CD6862">
        <w:rPr>
          <w:b/>
          <w:bCs/>
          <w:sz w:val="24"/>
          <w:szCs w:val="24"/>
        </w:rPr>
        <w:t xml:space="preserve"> n</w:t>
      </w:r>
      <w:r w:rsidR="00756F9A" w:rsidRPr="00CD6862">
        <w:rPr>
          <w:b/>
          <w:bCs/>
          <w:sz w:val="24"/>
          <w:szCs w:val="24"/>
        </w:rPr>
        <w:t>ajwyższe średnie zaległości m</w:t>
      </w:r>
      <w:r w:rsidR="00CD6862" w:rsidRPr="00CD6862">
        <w:rPr>
          <w:b/>
          <w:bCs/>
          <w:sz w:val="24"/>
          <w:szCs w:val="24"/>
        </w:rPr>
        <w:t>iały</w:t>
      </w:r>
      <w:r w:rsidR="00756F9A" w:rsidRPr="00CD6862">
        <w:rPr>
          <w:b/>
          <w:bCs/>
          <w:sz w:val="24"/>
          <w:szCs w:val="24"/>
        </w:rPr>
        <w:t xml:space="preserve"> firmy z Podkarpacia, ale długów najszybciej przybywa</w:t>
      </w:r>
      <w:r w:rsidR="00CD6862" w:rsidRPr="00CD6862">
        <w:rPr>
          <w:b/>
          <w:bCs/>
          <w:sz w:val="24"/>
          <w:szCs w:val="24"/>
        </w:rPr>
        <w:t>ło</w:t>
      </w:r>
      <w:r w:rsidR="00756F9A" w:rsidRPr="00CD6862">
        <w:rPr>
          <w:b/>
          <w:bCs/>
          <w:sz w:val="24"/>
          <w:szCs w:val="24"/>
        </w:rPr>
        <w:t xml:space="preserve"> w</w:t>
      </w:r>
      <w:r w:rsidR="00620E3C">
        <w:rPr>
          <w:b/>
          <w:bCs/>
          <w:sz w:val="24"/>
          <w:szCs w:val="24"/>
        </w:rPr>
        <w:t xml:space="preserve"> Zachodniopomorskiem i</w:t>
      </w:r>
      <w:r w:rsidR="00756F9A" w:rsidRPr="00CD6862">
        <w:rPr>
          <w:b/>
          <w:bCs/>
          <w:sz w:val="24"/>
          <w:szCs w:val="24"/>
        </w:rPr>
        <w:t xml:space="preserve"> Małopolsce</w:t>
      </w:r>
      <w:r w:rsidR="00CD6862" w:rsidRPr="00CD6862">
        <w:rPr>
          <w:b/>
          <w:bCs/>
          <w:sz w:val="24"/>
          <w:szCs w:val="24"/>
        </w:rPr>
        <w:t>. Liderem w łącznym zaległy</w:t>
      </w:r>
      <w:r w:rsidR="00CD6862">
        <w:rPr>
          <w:b/>
          <w:bCs/>
          <w:sz w:val="24"/>
          <w:szCs w:val="24"/>
        </w:rPr>
        <w:t>m</w:t>
      </w:r>
      <w:r w:rsidR="00CD6862" w:rsidRPr="00CD6862">
        <w:rPr>
          <w:b/>
          <w:bCs/>
          <w:sz w:val="24"/>
          <w:szCs w:val="24"/>
        </w:rPr>
        <w:t xml:space="preserve"> zadłużeniu jest nadal Mazowsze</w:t>
      </w:r>
      <w:r w:rsidR="00853618">
        <w:rPr>
          <w:b/>
          <w:bCs/>
          <w:sz w:val="24"/>
          <w:szCs w:val="24"/>
        </w:rPr>
        <w:t xml:space="preserve">. </w:t>
      </w:r>
    </w:p>
    <w:p w14:paraId="172046CB" w14:textId="77777777" w:rsidR="0089220B" w:rsidRDefault="0089220B" w:rsidP="00827427">
      <w:pPr>
        <w:jc w:val="both"/>
        <w:rPr>
          <w:b/>
          <w:bCs/>
          <w:sz w:val="24"/>
          <w:szCs w:val="24"/>
        </w:rPr>
      </w:pPr>
    </w:p>
    <w:p w14:paraId="15A3BDCA" w14:textId="3DCC2661" w:rsidR="0089220B" w:rsidRDefault="0089220B" w:rsidP="0082742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Najważniejsze dane</w:t>
      </w:r>
      <w:r w:rsidR="00853618">
        <w:rPr>
          <w:b/>
          <w:bCs/>
          <w:sz w:val="24"/>
          <w:szCs w:val="24"/>
        </w:rPr>
        <w:t xml:space="preserve"> (na koniec 2025 r)</w:t>
      </w:r>
      <w:r>
        <w:rPr>
          <w:b/>
          <w:bCs/>
          <w:sz w:val="24"/>
          <w:szCs w:val="24"/>
        </w:rPr>
        <w:t>:</w:t>
      </w:r>
    </w:p>
    <w:p w14:paraId="3C3D22B9" w14:textId="77777777" w:rsidR="000C5E32" w:rsidRDefault="000C5E32" w:rsidP="00827427">
      <w:pPr>
        <w:jc w:val="both"/>
        <w:rPr>
          <w:b/>
          <w:bCs/>
          <w:sz w:val="24"/>
          <w:szCs w:val="24"/>
        </w:rPr>
      </w:pPr>
    </w:p>
    <w:p w14:paraId="0F7424CC" w14:textId="1DFDC888" w:rsidR="000C5E32" w:rsidRDefault="00853618" w:rsidP="000C5E3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</w:t>
      </w:r>
      <w:r w:rsidR="000C5E32" w:rsidRPr="000C5E32">
        <w:rPr>
          <w:rFonts w:ascii="Calibri" w:hAnsi="Calibri" w:cs="Calibri"/>
          <w:b/>
          <w:bCs/>
        </w:rPr>
        <w:t>aległe długi przedsiębiorstw przekroczyły 45 mld zł, obciążając konta ponad 309 tys. podmiotów</w:t>
      </w:r>
      <w:r w:rsidR="000C5E32">
        <w:rPr>
          <w:rFonts w:ascii="Calibri" w:hAnsi="Calibri" w:cs="Calibri"/>
          <w:b/>
          <w:bCs/>
        </w:rPr>
        <w:t>;</w:t>
      </w:r>
    </w:p>
    <w:p w14:paraId="30C4610D" w14:textId="48D27EA8" w:rsidR="000C5E32" w:rsidRDefault="00853618" w:rsidP="000C5E3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</w:t>
      </w:r>
      <w:r w:rsidR="00DC478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ponad 190 tys. zł na firmę to n</w:t>
      </w:r>
      <w:r w:rsidR="000C5E32" w:rsidRPr="000C5E32">
        <w:rPr>
          <w:rFonts w:ascii="Calibri" w:hAnsi="Calibri" w:cs="Calibri"/>
          <w:b/>
          <w:bCs/>
        </w:rPr>
        <w:t>ajwyższe średnie zaległości firm z Podkarpacia</w:t>
      </w:r>
      <w:r w:rsidR="000C5E32">
        <w:rPr>
          <w:rFonts w:ascii="Calibri" w:hAnsi="Calibri" w:cs="Calibri"/>
          <w:b/>
          <w:bCs/>
        </w:rPr>
        <w:t xml:space="preserve"> i Mazowsza</w:t>
      </w:r>
      <w:r w:rsidR="00DC478F">
        <w:rPr>
          <w:rFonts w:ascii="Calibri" w:hAnsi="Calibri" w:cs="Calibri"/>
          <w:b/>
          <w:bCs/>
        </w:rPr>
        <w:t>;</w:t>
      </w:r>
      <w:r w:rsidR="000C5E32">
        <w:rPr>
          <w:rFonts w:ascii="Calibri" w:hAnsi="Calibri" w:cs="Calibri"/>
          <w:b/>
          <w:bCs/>
        </w:rPr>
        <w:t xml:space="preserve"> </w:t>
      </w:r>
    </w:p>
    <w:p w14:paraId="46538807" w14:textId="2115906F" w:rsidR="000C5E32" w:rsidRDefault="000C5E32" w:rsidP="000C5E3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</w:t>
      </w:r>
      <w:r w:rsidRPr="000C5E32">
        <w:rPr>
          <w:rFonts w:ascii="Calibri" w:hAnsi="Calibri" w:cs="Calibri"/>
          <w:b/>
          <w:bCs/>
        </w:rPr>
        <w:t>ajszybciej</w:t>
      </w:r>
      <w:r>
        <w:rPr>
          <w:rFonts w:ascii="Calibri" w:hAnsi="Calibri" w:cs="Calibri"/>
          <w:b/>
          <w:bCs/>
        </w:rPr>
        <w:t xml:space="preserve"> zaległych długów</w:t>
      </w:r>
      <w:r w:rsidRPr="000C5E32">
        <w:rPr>
          <w:rFonts w:ascii="Calibri" w:hAnsi="Calibri" w:cs="Calibri"/>
          <w:b/>
          <w:bCs/>
        </w:rPr>
        <w:t xml:space="preserve"> przybywało w Zachodniopomorskiem i Małopolsce</w:t>
      </w:r>
      <w:r>
        <w:rPr>
          <w:rFonts w:ascii="Calibri" w:hAnsi="Calibri" w:cs="Calibri"/>
          <w:b/>
          <w:bCs/>
        </w:rPr>
        <w:t xml:space="preserve"> – kolejno po 13,3 proc. i 10,3 proc. w skali roku;</w:t>
      </w:r>
    </w:p>
    <w:p w14:paraId="2994C2C3" w14:textId="4E51DF74" w:rsidR="000C5E32" w:rsidRDefault="000C5E32" w:rsidP="000C5E3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Najlepiej poradziły sobie firmy z woj. </w:t>
      </w:r>
      <w:r w:rsidRPr="000C5E32">
        <w:rPr>
          <w:rFonts w:ascii="Calibri" w:hAnsi="Calibri" w:cs="Calibri"/>
          <w:b/>
          <w:bCs/>
        </w:rPr>
        <w:t>świętokrzyskiego i łódzkiego</w:t>
      </w:r>
      <w:r>
        <w:rPr>
          <w:rFonts w:ascii="Calibri" w:hAnsi="Calibri" w:cs="Calibri"/>
          <w:b/>
          <w:bCs/>
        </w:rPr>
        <w:t xml:space="preserve"> – gdzie zaległości ubyło o kolejno 9,3 proc. i 8,4 proc.</w:t>
      </w:r>
      <w:r w:rsidR="00DC478F">
        <w:rPr>
          <w:rFonts w:ascii="Calibri" w:hAnsi="Calibri" w:cs="Calibri"/>
          <w:b/>
          <w:bCs/>
        </w:rPr>
        <w:t>;</w:t>
      </w:r>
    </w:p>
    <w:p w14:paraId="373FC86F" w14:textId="3C18BDFE" w:rsidR="00B00FAB" w:rsidRPr="000C5E32" w:rsidRDefault="00B00FAB" w:rsidP="000C5E32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Wartościowo liderem w </w:t>
      </w:r>
      <w:r w:rsidR="00CD56F6">
        <w:rPr>
          <w:rFonts w:ascii="Calibri" w:hAnsi="Calibri" w:cs="Calibri"/>
          <w:b/>
          <w:bCs/>
        </w:rPr>
        <w:t xml:space="preserve">przeterminowanym </w:t>
      </w:r>
      <w:r>
        <w:rPr>
          <w:rFonts w:ascii="Calibri" w:hAnsi="Calibri" w:cs="Calibri"/>
          <w:b/>
          <w:bCs/>
        </w:rPr>
        <w:t xml:space="preserve">zadłużeniu pozostaje Mazowsze – 12 mld zł, dalej Śląsk – ponad 5,6 mld zł i </w:t>
      </w:r>
      <w:r w:rsidR="00017457">
        <w:rPr>
          <w:rFonts w:ascii="Calibri" w:hAnsi="Calibri" w:cs="Calibri"/>
          <w:b/>
          <w:bCs/>
        </w:rPr>
        <w:t>Wielkopolska -</w:t>
      </w:r>
      <w:r>
        <w:rPr>
          <w:rFonts w:ascii="Calibri" w:hAnsi="Calibri" w:cs="Calibri"/>
          <w:b/>
          <w:bCs/>
        </w:rPr>
        <w:t xml:space="preserve"> 4,6 mld zł.</w:t>
      </w:r>
    </w:p>
    <w:p w14:paraId="480390E1" w14:textId="77777777" w:rsidR="0089220B" w:rsidRDefault="0089220B" w:rsidP="00827427">
      <w:pPr>
        <w:jc w:val="both"/>
        <w:rPr>
          <w:b/>
          <w:bCs/>
          <w:sz w:val="24"/>
          <w:szCs w:val="24"/>
        </w:rPr>
      </w:pPr>
    </w:p>
    <w:p w14:paraId="54609ACF" w14:textId="6498EA08" w:rsidR="00066DD5" w:rsidRDefault="00D17405" w:rsidP="000D2FDA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Polski biznes zamknął </w:t>
      </w:r>
      <w:r w:rsidR="000D2FDA" w:rsidRPr="000D2FDA">
        <w:rPr>
          <w:rFonts w:ascii="Calibri" w:hAnsi="Calibri" w:cs="Calibri"/>
          <w:sz w:val="22"/>
        </w:rPr>
        <w:t>2025 rok</w:t>
      </w:r>
      <w:r>
        <w:rPr>
          <w:rFonts w:ascii="Calibri" w:hAnsi="Calibri" w:cs="Calibri"/>
          <w:sz w:val="22"/>
        </w:rPr>
        <w:t xml:space="preserve"> z bagażem</w:t>
      </w:r>
      <w:r w:rsidR="000D2FDA" w:rsidRPr="000D2FDA">
        <w:rPr>
          <w:rFonts w:ascii="Calibri" w:hAnsi="Calibri" w:cs="Calibri"/>
          <w:sz w:val="22"/>
        </w:rPr>
        <w:t xml:space="preserve"> </w:t>
      </w:r>
      <w:r w:rsidR="00CD56F6">
        <w:rPr>
          <w:rFonts w:ascii="Calibri" w:hAnsi="Calibri" w:cs="Calibri"/>
          <w:sz w:val="22"/>
        </w:rPr>
        <w:t>przeterminowan</w:t>
      </w:r>
      <w:r>
        <w:rPr>
          <w:rFonts w:ascii="Calibri" w:hAnsi="Calibri" w:cs="Calibri"/>
          <w:sz w:val="22"/>
        </w:rPr>
        <w:t>ego</w:t>
      </w:r>
      <w:r w:rsidR="00CD56F6">
        <w:rPr>
          <w:rFonts w:ascii="Calibri" w:hAnsi="Calibri" w:cs="Calibri"/>
          <w:sz w:val="22"/>
        </w:rPr>
        <w:t xml:space="preserve"> </w:t>
      </w:r>
      <w:r w:rsidR="000D2FDA" w:rsidRPr="000D2FDA">
        <w:rPr>
          <w:rFonts w:ascii="Calibri" w:hAnsi="Calibri" w:cs="Calibri"/>
          <w:sz w:val="22"/>
        </w:rPr>
        <w:t>zadłużeni</w:t>
      </w:r>
      <w:r>
        <w:rPr>
          <w:rFonts w:ascii="Calibri" w:hAnsi="Calibri" w:cs="Calibri"/>
          <w:sz w:val="22"/>
        </w:rPr>
        <w:t>a</w:t>
      </w:r>
      <w:r w:rsidR="000D2FDA" w:rsidRPr="000D2FDA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na </w:t>
      </w:r>
      <w:r w:rsidR="000D2FDA" w:rsidRPr="000D2FDA">
        <w:rPr>
          <w:rFonts w:ascii="Calibri" w:hAnsi="Calibri" w:cs="Calibri"/>
          <w:sz w:val="22"/>
        </w:rPr>
        <w:t>bardzo wysoki</w:t>
      </w:r>
      <w:r>
        <w:rPr>
          <w:rFonts w:ascii="Calibri" w:hAnsi="Calibri" w:cs="Calibri"/>
          <w:sz w:val="22"/>
        </w:rPr>
        <w:t>m</w:t>
      </w:r>
      <w:r w:rsidR="000D2FDA" w:rsidRPr="000D2FDA">
        <w:rPr>
          <w:rFonts w:ascii="Calibri" w:hAnsi="Calibri" w:cs="Calibri"/>
          <w:sz w:val="22"/>
        </w:rPr>
        <w:t xml:space="preserve"> poziom</w:t>
      </w:r>
      <w:r>
        <w:rPr>
          <w:rFonts w:ascii="Calibri" w:hAnsi="Calibri" w:cs="Calibri"/>
          <w:sz w:val="22"/>
        </w:rPr>
        <w:t>ie</w:t>
      </w:r>
      <w:r w:rsidR="000D2FDA" w:rsidRPr="000D2FDA">
        <w:rPr>
          <w:rFonts w:ascii="Calibri" w:hAnsi="Calibri" w:cs="Calibri"/>
          <w:sz w:val="22"/>
        </w:rPr>
        <w:t xml:space="preserve"> – ponad 45 mld zł </w:t>
      </w:r>
      <w:r w:rsidR="00066DD5">
        <w:rPr>
          <w:rFonts w:ascii="Calibri" w:hAnsi="Calibri" w:cs="Calibri"/>
          <w:sz w:val="22"/>
        </w:rPr>
        <w:t xml:space="preserve">należących do </w:t>
      </w:r>
      <w:r w:rsidR="000D2FDA" w:rsidRPr="000D2FDA">
        <w:rPr>
          <w:rFonts w:ascii="Calibri" w:hAnsi="Calibri" w:cs="Calibri"/>
          <w:sz w:val="22"/>
        </w:rPr>
        <w:t xml:space="preserve">ponad 309 tys. firm. </w:t>
      </w:r>
      <w:r w:rsidRPr="00D17405">
        <w:rPr>
          <w:rFonts w:ascii="Calibri" w:hAnsi="Calibri" w:cs="Calibri"/>
          <w:sz w:val="22"/>
        </w:rPr>
        <w:t>Rosnąca kwota przy mniejszej liczbie dłużników świadczy o postępującej koncentracji problemów finansowych w konkretnych grupach firm.</w:t>
      </w:r>
      <w:r>
        <w:rPr>
          <w:rFonts w:ascii="Calibri" w:hAnsi="Calibri" w:cs="Calibri"/>
          <w:sz w:val="22"/>
        </w:rPr>
        <w:t xml:space="preserve"> </w:t>
      </w:r>
    </w:p>
    <w:p w14:paraId="68C76392" w14:textId="78A05264" w:rsidR="000D2FDA" w:rsidRPr="000D2FDA" w:rsidRDefault="000D2FDA" w:rsidP="000D2FDA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0D2FDA">
        <w:rPr>
          <w:rFonts w:ascii="Calibri" w:hAnsi="Calibri" w:cs="Calibri"/>
          <w:sz w:val="22"/>
        </w:rPr>
        <w:t xml:space="preserve">Istotne różnice </w:t>
      </w:r>
      <w:r w:rsidR="00017457">
        <w:rPr>
          <w:rFonts w:ascii="Calibri" w:hAnsi="Calibri" w:cs="Calibri"/>
          <w:sz w:val="22"/>
        </w:rPr>
        <w:t xml:space="preserve">obserwujemy </w:t>
      </w:r>
      <w:r w:rsidR="00017457" w:rsidRPr="000D2FDA">
        <w:rPr>
          <w:rFonts w:ascii="Calibri" w:hAnsi="Calibri" w:cs="Calibri"/>
          <w:sz w:val="22"/>
        </w:rPr>
        <w:t>pomiędzy</w:t>
      </w:r>
      <w:r w:rsidRPr="000D2FDA">
        <w:rPr>
          <w:rFonts w:ascii="Calibri" w:hAnsi="Calibri" w:cs="Calibri"/>
          <w:sz w:val="22"/>
        </w:rPr>
        <w:t xml:space="preserve"> regionami. Najwyższe średnie zadłużenie – ponad 190 tys. zł na firmę – odnotowano w województwach podkarpackim i mazowieckim</w:t>
      </w:r>
      <w:r w:rsidR="00613651">
        <w:rPr>
          <w:rFonts w:ascii="Calibri" w:hAnsi="Calibri" w:cs="Calibri"/>
          <w:sz w:val="22"/>
        </w:rPr>
        <w:t xml:space="preserve">. </w:t>
      </w:r>
      <w:r w:rsidRPr="000D2FDA">
        <w:rPr>
          <w:rFonts w:ascii="Calibri" w:hAnsi="Calibri" w:cs="Calibri"/>
          <w:sz w:val="22"/>
        </w:rPr>
        <w:t xml:space="preserve"> Jednocześnie wartościowo Mazowsze pozostaje zdecydowanym liderem zadłużenia (12 mld zł), a kolejne miejsca zajmują Śląsk (ponad 5,6 mld zł) oraz Wielkopolska (4,6 mld zł).</w:t>
      </w:r>
    </w:p>
    <w:p w14:paraId="5EA67274" w14:textId="08DB3EE7" w:rsidR="000D2FDA" w:rsidRDefault="000D2FDA" w:rsidP="0092221C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  <w:r w:rsidRPr="000D2FDA">
        <w:rPr>
          <w:rFonts w:ascii="Calibri" w:hAnsi="Calibri" w:cs="Calibri"/>
          <w:sz w:val="22"/>
        </w:rPr>
        <w:t>Tempo narastania problemów również różniło się regionalnie. Największy wzrost zaległości nastąpił w Zachodniopomorskiem (13,3</w:t>
      </w:r>
      <w:r>
        <w:rPr>
          <w:rFonts w:ascii="Calibri" w:hAnsi="Calibri" w:cs="Calibri"/>
          <w:sz w:val="22"/>
        </w:rPr>
        <w:t xml:space="preserve"> proc.</w:t>
      </w:r>
      <w:r w:rsidRPr="000D2FDA">
        <w:rPr>
          <w:rFonts w:ascii="Calibri" w:hAnsi="Calibri" w:cs="Calibri"/>
          <w:sz w:val="22"/>
        </w:rPr>
        <w:t xml:space="preserve"> r/r) i Małopolsce (10,3</w:t>
      </w:r>
      <w:r>
        <w:rPr>
          <w:rFonts w:ascii="Calibri" w:hAnsi="Calibri" w:cs="Calibri"/>
          <w:sz w:val="22"/>
        </w:rPr>
        <w:t xml:space="preserve"> proc.</w:t>
      </w:r>
      <w:r w:rsidRPr="000D2FDA">
        <w:rPr>
          <w:rFonts w:ascii="Calibri" w:hAnsi="Calibri" w:cs="Calibri"/>
          <w:sz w:val="22"/>
        </w:rPr>
        <w:t xml:space="preserve"> r/r), co może wskazywać na lokalne pogorszenie koniunktury lub większą podatność tamtejszych firm na wahania kosztów i popytu. Z kolei w województwach świętokrzyskim i łódzkim obserwowano</w:t>
      </w:r>
      <w:r w:rsidR="004D59B9">
        <w:rPr>
          <w:rFonts w:ascii="Calibri" w:hAnsi="Calibri" w:cs="Calibri"/>
          <w:sz w:val="22"/>
        </w:rPr>
        <w:t xml:space="preserve"> najszybszy</w:t>
      </w:r>
      <w:r w:rsidRPr="000D2FDA">
        <w:rPr>
          <w:rFonts w:ascii="Calibri" w:hAnsi="Calibri" w:cs="Calibri"/>
          <w:sz w:val="22"/>
        </w:rPr>
        <w:t xml:space="preserve"> spadek zaległości – </w:t>
      </w:r>
      <w:r w:rsidRPr="000D2FDA">
        <w:rPr>
          <w:rFonts w:ascii="Calibri" w:hAnsi="Calibri" w:cs="Calibri"/>
          <w:sz w:val="22"/>
        </w:rPr>
        <w:lastRenderedPageBreak/>
        <w:t>odpowiednio o 9,3</w:t>
      </w:r>
      <w:r>
        <w:rPr>
          <w:rFonts w:ascii="Calibri" w:hAnsi="Calibri" w:cs="Calibri"/>
          <w:sz w:val="22"/>
        </w:rPr>
        <w:t xml:space="preserve"> proc.</w:t>
      </w:r>
      <w:r w:rsidRPr="000D2FDA">
        <w:rPr>
          <w:rFonts w:ascii="Calibri" w:hAnsi="Calibri" w:cs="Calibri"/>
          <w:sz w:val="22"/>
        </w:rPr>
        <w:t xml:space="preserve"> i 8,4</w:t>
      </w:r>
      <w:r>
        <w:rPr>
          <w:rFonts w:ascii="Calibri" w:hAnsi="Calibri" w:cs="Calibri"/>
          <w:sz w:val="22"/>
        </w:rPr>
        <w:t xml:space="preserve"> proc.</w:t>
      </w:r>
      <w:r w:rsidRPr="000D2FDA">
        <w:rPr>
          <w:rFonts w:ascii="Calibri" w:hAnsi="Calibri" w:cs="Calibri"/>
          <w:sz w:val="22"/>
        </w:rPr>
        <w:t>, co</w:t>
      </w:r>
      <w:r w:rsidR="004D59B9">
        <w:rPr>
          <w:rFonts w:ascii="Calibri" w:hAnsi="Calibri" w:cs="Calibri"/>
          <w:sz w:val="22"/>
        </w:rPr>
        <w:t xml:space="preserve"> może</w:t>
      </w:r>
      <w:r w:rsidRPr="000D2FDA">
        <w:rPr>
          <w:rFonts w:ascii="Calibri" w:hAnsi="Calibri" w:cs="Calibri"/>
          <w:sz w:val="22"/>
        </w:rPr>
        <w:t xml:space="preserve"> świadczy</w:t>
      </w:r>
      <w:r w:rsidR="004D59B9">
        <w:rPr>
          <w:rFonts w:ascii="Calibri" w:hAnsi="Calibri" w:cs="Calibri"/>
          <w:sz w:val="22"/>
        </w:rPr>
        <w:t>ć</w:t>
      </w:r>
      <w:r w:rsidRPr="000D2FDA">
        <w:rPr>
          <w:rFonts w:ascii="Calibri" w:hAnsi="Calibri" w:cs="Calibri"/>
          <w:sz w:val="22"/>
        </w:rPr>
        <w:t xml:space="preserve"> o </w:t>
      </w:r>
      <w:r w:rsidR="00605FCF">
        <w:rPr>
          <w:rFonts w:ascii="Calibri" w:hAnsi="Calibri" w:cs="Calibri"/>
          <w:sz w:val="22"/>
        </w:rPr>
        <w:t xml:space="preserve">większej odporności firm na rynkowe zawirowania. 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611"/>
        <w:gridCol w:w="1389"/>
        <w:gridCol w:w="1260"/>
        <w:gridCol w:w="1580"/>
      </w:tblGrid>
      <w:tr w:rsidR="00017457" w:rsidRPr="00017457" w14:paraId="3F9E260C" w14:textId="77777777" w:rsidTr="00017457">
        <w:trPr>
          <w:trHeight w:val="5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noWrap/>
            <w:vAlign w:val="bottom"/>
            <w:hideMark/>
          </w:tcPr>
          <w:p w14:paraId="7B4A4CB3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Województwo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vAlign w:val="bottom"/>
            <w:hideMark/>
          </w:tcPr>
          <w:p w14:paraId="6C6D584D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Kwota zaległości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vAlign w:val="bottom"/>
            <w:hideMark/>
          </w:tcPr>
          <w:p w14:paraId="39E163C1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Liczba dłużników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vAlign w:val="bottom"/>
            <w:hideMark/>
          </w:tcPr>
          <w:p w14:paraId="16BCBE9B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Średni dług na firmę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61E8EB77" w14:textId="6214BC28" w:rsidR="00017457" w:rsidRPr="00017457" w:rsidRDefault="00017457" w:rsidP="00017457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Zmiana r</w:t>
            </w:r>
            <w:r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/</w:t>
            </w: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 xml:space="preserve">r </w:t>
            </w:r>
            <w:r w:rsidR="00470555" w:rsidRPr="00E25C18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 xml:space="preserve">kwota </w:t>
            </w:r>
            <w:r w:rsidRPr="00E25C18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- %</w:t>
            </w:r>
          </w:p>
        </w:tc>
      </w:tr>
      <w:tr w:rsidR="00017457" w:rsidRPr="00017457" w14:paraId="4EFB3994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70D4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400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12 099 569 937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D2D7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62 990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3F78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192 087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D5BA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6,1%</w:t>
            </w:r>
          </w:p>
        </w:tc>
      </w:tr>
      <w:tr w:rsidR="00017457" w:rsidRPr="00017457" w14:paraId="16796FAA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CA18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C0B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5 632 688 187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85E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38 089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672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147 882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14A9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3,3%</w:t>
            </w:r>
          </w:p>
        </w:tc>
      </w:tr>
      <w:tr w:rsidR="00017457" w:rsidRPr="00017457" w14:paraId="152813DD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7F2F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1148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4 565 643 955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BD8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31 150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39EF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146 570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5C8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3,6%</w:t>
            </w:r>
          </w:p>
        </w:tc>
      </w:tr>
      <w:tr w:rsidR="00017457" w:rsidRPr="00017457" w14:paraId="27F91D95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CBF1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MAŁOPOLSKIE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C168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3 417 940 190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78FC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23 238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6351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147 084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F95C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FF0000"/>
                <w:sz w:val="22"/>
                <w:szCs w:val="22"/>
              </w:rPr>
              <w:t>10,3%</w:t>
            </w:r>
          </w:p>
        </w:tc>
      </w:tr>
      <w:tr w:rsidR="00017457" w:rsidRPr="00017457" w14:paraId="186D21C2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AAD5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6EB8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2 917 084 095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4B4E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27 899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CD99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104 559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2D63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1,0%</w:t>
            </w:r>
          </w:p>
        </w:tc>
      </w:tr>
      <w:tr w:rsidR="00017457" w:rsidRPr="00017457" w14:paraId="7AA437CB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CD72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4A36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2 789 022 427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AB2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21 129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86C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132 000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6B9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-1,4%</w:t>
            </w:r>
          </w:p>
        </w:tc>
      </w:tr>
      <w:tr w:rsidR="00017457" w:rsidRPr="00017457" w14:paraId="4E582C67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67B4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08BA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2 529 812 990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CB71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18 369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A24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137 722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D9FA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-8,4%</w:t>
            </w:r>
          </w:p>
        </w:tc>
      </w:tr>
      <w:tr w:rsidR="00017457" w:rsidRPr="00017457" w14:paraId="732093A6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4A6E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1DBA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1 965 483 267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3226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15 308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C3E1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128 396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0740B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-0,3%</w:t>
            </w:r>
          </w:p>
        </w:tc>
      </w:tr>
      <w:tr w:rsidR="00017457" w:rsidRPr="00017457" w14:paraId="490E7585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3659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PODKARPACKIE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D5AA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1 957 607 761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B2B9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9 970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467C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196 350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F6BD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6,7%</w:t>
            </w:r>
          </w:p>
        </w:tc>
      </w:tr>
      <w:tr w:rsidR="00017457" w:rsidRPr="00017457" w14:paraId="749463A5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4662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ZACHODNIOPOMORSKIE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9FD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1 604 719 535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375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14 705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51E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109 127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FFB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FF0000"/>
                <w:sz w:val="22"/>
                <w:szCs w:val="22"/>
              </w:rPr>
              <w:t>13,3%</w:t>
            </w:r>
          </w:p>
        </w:tc>
      </w:tr>
      <w:tr w:rsidR="00017457" w:rsidRPr="00017457" w14:paraId="76EFD4F0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A72D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5B78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1 361 741 378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B049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11 081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A202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122 890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0E2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-4,4%</w:t>
            </w:r>
          </w:p>
        </w:tc>
      </w:tr>
      <w:tr w:rsidR="00017457" w:rsidRPr="00017457" w14:paraId="10F655A9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EA01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1B1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1 136 632 649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ABA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9 023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FF67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125 970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7E9EF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-6,6%</w:t>
            </w:r>
          </w:p>
        </w:tc>
      </w:tr>
      <w:tr w:rsidR="00017457" w:rsidRPr="00017457" w14:paraId="4668FC34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F415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B29B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892 827 538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AA2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8 452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0C01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105 635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75E7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8,1%</w:t>
            </w:r>
          </w:p>
        </w:tc>
      </w:tr>
      <w:tr w:rsidR="00017457" w:rsidRPr="00017457" w14:paraId="48B85A2B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3633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1E2A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872 202 132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10B7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6 215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260E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140 338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BE6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-9,3%</w:t>
            </w:r>
          </w:p>
        </w:tc>
      </w:tr>
      <w:tr w:rsidR="00017457" w:rsidRPr="00017457" w14:paraId="75782C75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EFAC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8156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749 499 970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90A4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5 954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B999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125 882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EA23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-5,0%</w:t>
            </w:r>
          </w:p>
        </w:tc>
      </w:tr>
      <w:tr w:rsidR="00017457" w:rsidRPr="00017457" w14:paraId="1CE73C66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8C5A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184F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547 062 760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70B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17457">
              <w:rPr>
                <w:rFonts w:eastAsia="Times New Roman"/>
                <w:color w:val="000000"/>
                <w:sz w:val="22"/>
                <w:szCs w:val="22"/>
              </w:rPr>
              <w:t>5 742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99B5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95 274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995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017457">
              <w:rPr>
                <w:rFonts w:eastAsia="Times New Roman"/>
                <w:color w:val="auto"/>
                <w:sz w:val="22"/>
                <w:szCs w:val="22"/>
              </w:rPr>
              <w:t>5,1%</w:t>
            </w:r>
          </w:p>
        </w:tc>
      </w:tr>
      <w:tr w:rsidR="00017457" w:rsidRPr="00017457" w14:paraId="5B03B014" w14:textId="77777777" w:rsidTr="00017457">
        <w:trPr>
          <w:trHeight w:val="29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noWrap/>
            <w:vAlign w:val="bottom"/>
            <w:hideMark/>
          </w:tcPr>
          <w:p w14:paraId="6E04E094" w14:textId="77777777" w:rsidR="00017457" w:rsidRPr="00017457" w:rsidRDefault="00017457" w:rsidP="00017457">
            <w:pPr>
              <w:spacing w:line="240" w:lineRule="auto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Polska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noWrap/>
            <w:vAlign w:val="bottom"/>
            <w:hideMark/>
          </w:tcPr>
          <w:p w14:paraId="4C289190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45 039 538 771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noWrap/>
            <w:vAlign w:val="bottom"/>
            <w:hideMark/>
          </w:tcPr>
          <w:p w14:paraId="4B652EA2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309 313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D7D31" w:fill="2F75B5"/>
            <w:noWrap/>
            <w:vAlign w:val="bottom"/>
            <w:hideMark/>
          </w:tcPr>
          <w:p w14:paraId="03BAD738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145 612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ED7D31" w:fill="ED7D31"/>
            <w:noWrap/>
            <w:vAlign w:val="bottom"/>
            <w:hideMark/>
          </w:tcPr>
          <w:p w14:paraId="31DF3512" w14:textId="77777777" w:rsidR="00017457" w:rsidRPr="00017457" w:rsidRDefault="00017457" w:rsidP="00017457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</w:rPr>
            </w:pPr>
            <w:r w:rsidRPr="00017457">
              <w:rPr>
                <w:rFonts w:eastAsia="Times New Roman"/>
                <w:b/>
                <w:bCs/>
                <w:color w:val="FFFFFF"/>
                <w:sz w:val="22"/>
                <w:szCs w:val="22"/>
              </w:rPr>
              <w:t>2,8%</w:t>
            </w:r>
          </w:p>
        </w:tc>
      </w:tr>
    </w:tbl>
    <w:p w14:paraId="07FC5D67" w14:textId="5C0A76B6" w:rsidR="0092221C" w:rsidRPr="007678AD" w:rsidRDefault="0092221C" w:rsidP="0092221C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AD0C57">
        <w:rPr>
          <w:rFonts w:ascii="Calibri" w:hAnsi="Calibri" w:cs="Calibri"/>
          <w:i/>
          <w:iCs/>
          <w:sz w:val="20"/>
          <w:szCs w:val="20"/>
        </w:rPr>
        <w:t>Źródło: Rejestr Dłużników BIG InfoMonitor i baza BIK</w:t>
      </w:r>
      <w:r w:rsidR="00C50FDF">
        <w:rPr>
          <w:rFonts w:ascii="Calibri" w:hAnsi="Calibri" w:cs="Calibri"/>
          <w:i/>
          <w:iCs/>
          <w:sz w:val="20"/>
          <w:szCs w:val="20"/>
        </w:rPr>
        <w:t xml:space="preserve"> (dane na koniec 2025 roku)</w:t>
      </w:r>
    </w:p>
    <w:p w14:paraId="7CBAFE00" w14:textId="77777777" w:rsidR="0038390E" w:rsidRPr="000D2FDA" w:rsidRDefault="0038390E" w:rsidP="000D2FDA">
      <w:pPr>
        <w:jc w:val="both"/>
        <w:rPr>
          <w:sz w:val="22"/>
          <w:szCs w:val="22"/>
        </w:rPr>
      </w:pPr>
    </w:p>
    <w:p w14:paraId="37762655" w14:textId="55AF8D83" w:rsidR="000D2FDA" w:rsidRPr="000D2FDA" w:rsidRDefault="000D2FDA" w:rsidP="000D2FD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="00605FCF" w:rsidRPr="00017457">
        <w:rPr>
          <w:i/>
          <w:iCs/>
          <w:sz w:val="22"/>
          <w:szCs w:val="22"/>
        </w:rPr>
        <w:t xml:space="preserve">45 mld zł zaległości i ponad </w:t>
      </w:r>
      <w:r w:rsidR="00605FCF" w:rsidRPr="0017790B">
        <w:rPr>
          <w:i/>
          <w:iCs/>
          <w:sz w:val="22"/>
          <w:szCs w:val="22"/>
        </w:rPr>
        <w:t>30</w:t>
      </w:r>
      <w:r w:rsidR="00FC6679" w:rsidRPr="0017790B">
        <w:rPr>
          <w:i/>
          <w:iCs/>
          <w:sz w:val="22"/>
          <w:szCs w:val="22"/>
        </w:rPr>
        <w:t>9</w:t>
      </w:r>
      <w:r w:rsidR="00605FCF" w:rsidRPr="00017457">
        <w:rPr>
          <w:i/>
          <w:iCs/>
          <w:sz w:val="22"/>
          <w:szCs w:val="22"/>
        </w:rPr>
        <w:t xml:space="preserve"> tys. dłużników to jasny sygnał, że zatory płatnicze</w:t>
      </w:r>
      <w:r w:rsidR="00605FCF" w:rsidRPr="00605FCF">
        <w:rPr>
          <w:i/>
          <w:iCs/>
          <w:sz w:val="22"/>
          <w:szCs w:val="22"/>
        </w:rPr>
        <w:t xml:space="preserve"> </w:t>
      </w:r>
      <w:r w:rsidR="00605FCF">
        <w:rPr>
          <w:i/>
          <w:iCs/>
          <w:sz w:val="22"/>
          <w:szCs w:val="22"/>
        </w:rPr>
        <w:t xml:space="preserve">to </w:t>
      </w:r>
      <w:r w:rsidR="008B2F09" w:rsidRPr="008B2F09">
        <w:rPr>
          <w:i/>
          <w:iCs/>
          <w:sz w:val="22"/>
          <w:szCs w:val="22"/>
        </w:rPr>
        <w:t>poważny problem systemowy</w:t>
      </w:r>
      <w:r w:rsidR="004D59B9">
        <w:rPr>
          <w:i/>
          <w:iCs/>
          <w:sz w:val="22"/>
          <w:szCs w:val="22"/>
        </w:rPr>
        <w:t>.</w:t>
      </w:r>
      <w:r w:rsidRPr="000D2FDA">
        <w:rPr>
          <w:i/>
          <w:iCs/>
          <w:sz w:val="22"/>
          <w:szCs w:val="22"/>
        </w:rPr>
        <w:t xml:space="preserve"> </w:t>
      </w:r>
      <w:r w:rsidR="00605FCF">
        <w:rPr>
          <w:i/>
          <w:iCs/>
          <w:sz w:val="22"/>
          <w:szCs w:val="22"/>
        </w:rPr>
        <w:t>T</w:t>
      </w:r>
      <w:r w:rsidRPr="000D2FDA">
        <w:rPr>
          <w:i/>
          <w:iCs/>
          <w:sz w:val="22"/>
          <w:szCs w:val="22"/>
        </w:rPr>
        <w:t xml:space="preserve">rudności z płynnością </w:t>
      </w:r>
      <w:r w:rsidR="00CD56F6">
        <w:rPr>
          <w:i/>
          <w:iCs/>
          <w:sz w:val="22"/>
          <w:szCs w:val="22"/>
        </w:rPr>
        <w:t>finansow</w:t>
      </w:r>
      <w:r w:rsidR="00613F39">
        <w:rPr>
          <w:i/>
          <w:iCs/>
          <w:sz w:val="22"/>
          <w:szCs w:val="22"/>
        </w:rPr>
        <w:t>ą</w:t>
      </w:r>
      <w:r w:rsidR="00CD56F6">
        <w:rPr>
          <w:i/>
          <w:iCs/>
          <w:sz w:val="22"/>
          <w:szCs w:val="22"/>
        </w:rPr>
        <w:t xml:space="preserve"> </w:t>
      </w:r>
      <w:r w:rsidRPr="000D2FDA">
        <w:rPr>
          <w:i/>
          <w:iCs/>
          <w:sz w:val="22"/>
          <w:szCs w:val="22"/>
        </w:rPr>
        <w:t xml:space="preserve">dotykają nie tylko pojedyncze branże, ale szeroki przekrój gospodarki. </w:t>
      </w:r>
      <w:r w:rsidR="00605FCF">
        <w:rPr>
          <w:i/>
          <w:iCs/>
          <w:sz w:val="22"/>
          <w:szCs w:val="22"/>
        </w:rPr>
        <w:t xml:space="preserve">Mapa zadłużenia pokazuje kontrasty regionalne. Podczas gdy dług na </w:t>
      </w:r>
      <w:r w:rsidR="00017457" w:rsidRPr="000D2FDA">
        <w:rPr>
          <w:i/>
          <w:iCs/>
          <w:sz w:val="22"/>
          <w:szCs w:val="22"/>
        </w:rPr>
        <w:t>Mazowsz</w:t>
      </w:r>
      <w:r w:rsidR="00017457">
        <w:rPr>
          <w:i/>
          <w:iCs/>
          <w:sz w:val="22"/>
          <w:szCs w:val="22"/>
        </w:rPr>
        <w:t xml:space="preserve">u </w:t>
      </w:r>
      <w:r w:rsidR="00017457" w:rsidRPr="000D2FDA">
        <w:rPr>
          <w:i/>
          <w:iCs/>
          <w:sz w:val="22"/>
          <w:szCs w:val="22"/>
        </w:rPr>
        <w:t>może</w:t>
      </w:r>
      <w:r w:rsidRPr="000D2FDA">
        <w:rPr>
          <w:i/>
          <w:iCs/>
          <w:sz w:val="22"/>
          <w:szCs w:val="22"/>
        </w:rPr>
        <w:t xml:space="preserve"> wynikać ze skali działalności firm w regionie, </w:t>
      </w:r>
      <w:r w:rsidR="00605FCF">
        <w:rPr>
          <w:i/>
          <w:iCs/>
          <w:sz w:val="22"/>
          <w:szCs w:val="22"/>
        </w:rPr>
        <w:t xml:space="preserve">to </w:t>
      </w:r>
      <w:r w:rsidRPr="000D2FDA">
        <w:rPr>
          <w:i/>
          <w:iCs/>
          <w:sz w:val="22"/>
          <w:szCs w:val="22"/>
        </w:rPr>
        <w:t xml:space="preserve">wysokie średnie </w:t>
      </w:r>
      <w:r w:rsidR="00CD56F6">
        <w:rPr>
          <w:i/>
          <w:iCs/>
          <w:sz w:val="22"/>
          <w:szCs w:val="22"/>
        </w:rPr>
        <w:t xml:space="preserve">przeterminowane </w:t>
      </w:r>
      <w:r w:rsidRPr="000D2FDA">
        <w:rPr>
          <w:i/>
          <w:iCs/>
          <w:sz w:val="22"/>
          <w:szCs w:val="22"/>
        </w:rPr>
        <w:t>zadłużenie Podkarpacia sugeruje</w:t>
      </w:r>
      <w:r w:rsidR="00605FCF">
        <w:rPr>
          <w:i/>
          <w:iCs/>
          <w:sz w:val="22"/>
          <w:szCs w:val="22"/>
        </w:rPr>
        <w:t xml:space="preserve"> skrajnie </w:t>
      </w:r>
      <w:r w:rsidR="00816A6A">
        <w:rPr>
          <w:i/>
          <w:iCs/>
          <w:sz w:val="22"/>
          <w:szCs w:val="22"/>
        </w:rPr>
        <w:t xml:space="preserve">trudną sytuację pojedynczych podmiotów na mniejszych rynkach. Niepokoi również dynamika w </w:t>
      </w:r>
      <w:r w:rsidRPr="000D2FDA">
        <w:rPr>
          <w:i/>
          <w:iCs/>
          <w:sz w:val="22"/>
          <w:szCs w:val="22"/>
        </w:rPr>
        <w:t>Zachodniopomorskiem i Małopolsce</w:t>
      </w:r>
      <w:r w:rsidR="00816A6A">
        <w:rPr>
          <w:i/>
          <w:iCs/>
          <w:sz w:val="22"/>
          <w:szCs w:val="22"/>
        </w:rPr>
        <w:t>.</w:t>
      </w:r>
      <w:r w:rsidRPr="000D2FDA">
        <w:rPr>
          <w:i/>
          <w:iCs/>
          <w:sz w:val="22"/>
          <w:szCs w:val="22"/>
        </w:rPr>
        <w:t xml:space="preserve"> </w:t>
      </w:r>
      <w:r w:rsidR="00816A6A">
        <w:rPr>
          <w:i/>
          <w:iCs/>
          <w:sz w:val="22"/>
          <w:szCs w:val="22"/>
        </w:rPr>
        <w:t xml:space="preserve">Tak duży skok zaległości </w:t>
      </w:r>
      <w:r>
        <w:rPr>
          <w:i/>
          <w:iCs/>
          <w:sz w:val="22"/>
          <w:szCs w:val="22"/>
        </w:rPr>
        <w:t>może być wynikiem</w:t>
      </w:r>
      <w:r w:rsidRPr="000D2FDA">
        <w:rPr>
          <w:i/>
          <w:iCs/>
          <w:sz w:val="22"/>
          <w:szCs w:val="22"/>
        </w:rPr>
        <w:t xml:space="preserve"> pogorszeni</w:t>
      </w:r>
      <w:r>
        <w:rPr>
          <w:i/>
          <w:iCs/>
          <w:sz w:val="22"/>
          <w:szCs w:val="22"/>
        </w:rPr>
        <w:t>a</w:t>
      </w:r>
      <w:r w:rsidRPr="000D2FDA">
        <w:rPr>
          <w:i/>
          <w:iCs/>
          <w:sz w:val="22"/>
          <w:szCs w:val="22"/>
        </w:rPr>
        <w:t xml:space="preserve"> lokalnej koniunktury</w:t>
      </w:r>
      <w:r w:rsidR="00816A6A">
        <w:rPr>
          <w:i/>
          <w:iCs/>
          <w:sz w:val="22"/>
          <w:szCs w:val="22"/>
        </w:rPr>
        <w:t xml:space="preserve"> -</w:t>
      </w:r>
      <w:r w:rsidRPr="000D2FDA">
        <w:rPr>
          <w:i/>
          <w:iCs/>
          <w:sz w:val="22"/>
          <w:szCs w:val="22"/>
        </w:rPr>
        <w:t xml:space="preserve"> waha</w:t>
      </w:r>
      <w:r w:rsidR="00816A6A">
        <w:rPr>
          <w:i/>
          <w:iCs/>
          <w:sz w:val="22"/>
          <w:szCs w:val="22"/>
        </w:rPr>
        <w:t>ń</w:t>
      </w:r>
      <w:r w:rsidRPr="000D2FDA">
        <w:rPr>
          <w:i/>
          <w:iCs/>
          <w:sz w:val="22"/>
          <w:szCs w:val="22"/>
        </w:rPr>
        <w:t xml:space="preserve"> kosztów, problem</w:t>
      </w:r>
      <w:r w:rsidR="00816A6A">
        <w:rPr>
          <w:i/>
          <w:iCs/>
          <w:sz w:val="22"/>
          <w:szCs w:val="22"/>
        </w:rPr>
        <w:t>ów</w:t>
      </w:r>
      <w:r w:rsidRPr="000D2FDA">
        <w:rPr>
          <w:i/>
          <w:iCs/>
          <w:sz w:val="22"/>
          <w:szCs w:val="22"/>
        </w:rPr>
        <w:t xml:space="preserve"> z popytem lub ograniczony</w:t>
      </w:r>
      <w:r>
        <w:rPr>
          <w:i/>
          <w:iCs/>
          <w:sz w:val="22"/>
          <w:szCs w:val="22"/>
        </w:rPr>
        <w:t>m</w:t>
      </w:r>
      <w:r w:rsidRPr="000D2FDA">
        <w:rPr>
          <w:i/>
          <w:iCs/>
          <w:sz w:val="22"/>
          <w:szCs w:val="22"/>
        </w:rPr>
        <w:t xml:space="preserve"> dostęp</w:t>
      </w:r>
      <w:r>
        <w:rPr>
          <w:i/>
          <w:iCs/>
          <w:sz w:val="22"/>
          <w:szCs w:val="22"/>
        </w:rPr>
        <w:t>em</w:t>
      </w:r>
      <w:r w:rsidRPr="000D2FDA">
        <w:rPr>
          <w:i/>
          <w:iCs/>
          <w:sz w:val="22"/>
          <w:szCs w:val="22"/>
        </w:rPr>
        <w:t xml:space="preserve"> do finansowania</w:t>
      </w:r>
      <w:r>
        <w:rPr>
          <w:sz w:val="22"/>
          <w:szCs w:val="22"/>
        </w:rPr>
        <w:t xml:space="preserve"> – podkreśla </w:t>
      </w:r>
      <w:r w:rsidRPr="000D2FDA">
        <w:rPr>
          <w:b/>
          <w:bCs/>
          <w:sz w:val="22"/>
          <w:szCs w:val="22"/>
        </w:rPr>
        <w:t>Paweł Szarkowski, prezes BIG InfoMonitor.</w:t>
      </w:r>
    </w:p>
    <w:p w14:paraId="0E9840C3" w14:textId="77777777" w:rsidR="000D2FDA" w:rsidRPr="000D2FDA" w:rsidRDefault="000D2FDA" w:rsidP="000D2FDA">
      <w:pPr>
        <w:jc w:val="both"/>
        <w:rPr>
          <w:b/>
          <w:bCs/>
          <w:sz w:val="22"/>
          <w:szCs w:val="22"/>
        </w:rPr>
      </w:pPr>
    </w:p>
    <w:p w14:paraId="7CAF7802" w14:textId="45709CEC" w:rsidR="0092221C" w:rsidRDefault="000D2FDA" w:rsidP="000D2FDA">
      <w:pPr>
        <w:jc w:val="both"/>
        <w:rPr>
          <w:sz w:val="22"/>
          <w:szCs w:val="22"/>
        </w:rPr>
      </w:pPr>
      <w:r w:rsidRPr="000D2FDA">
        <w:rPr>
          <w:sz w:val="22"/>
          <w:szCs w:val="22"/>
        </w:rPr>
        <w:t xml:space="preserve">Wysokie średnie zaległości oraz dynamiczny wzrost </w:t>
      </w:r>
      <w:r w:rsidR="00652607">
        <w:rPr>
          <w:sz w:val="22"/>
          <w:szCs w:val="22"/>
        </w:rPr>
        <w:t>zaległości</w:t>
      </w:r>
      <w:r w:rsidRPr="000D2FDA">
        <w:rPr>
          <w:sz w:val="22"/>
          <w:szCs w:val="22"/>
        </w:rPr>
        <w:t xml:space="preserve"> w części województw sugerują, że wiele firm wchodzi w kolejne lata w osłabionej kondycji, co może mieć wpływ na inwestycje, zatrudnienie i tempo rozwoju lokalnych gospodarek</w:t>
      </w:r>
      <w:r w:rsidR="004D59B9">
        <w:rPr>
          <w:sz w:val="22"/>
          <w:szCs w:val="22"/>
        </w:rPr>
        <w:t>, a także na relacje biznesowe.</w:t>
      </w:r>
    </w:p>
    <w:p w14:paraId="74536472" w14:textId="7BDB709A" w:rsidR="00CD56F6" w:rsidRDefault="00CD56F6">
      <w:pPr>
        <w:spacing w:after="160" w:line="259" w:lineRule="auto"/>
        <w:rPr>
          <w:b/>
          <w:bCs/>
          <w:sz w:val="22"/>
          <w:szCs w:val="22"/>
        </w:rPr>
      </w:pPr>
    </w:p>
    <w:p w14:paraId="2209791A" w14:textId="5C48EA5A" w:rsidR="0092221C" w:rsidRPr="000D2FDA" w:rsidRDefault="000D2FDA" w:rsidP="00827427">
      <w:pPr>
        <w:jc w:val="both"/>
        <w:rPr>
          <w:b/>
          <w:bCs/>
          <w:sz w:val="22"/>
          <w:szCs w:val="22"/>
        </w:rPr>
      </w:pPr>
      <w:r w:rsidRPr="000D2FDA">
        <w:rPr>
          <w:b/>
          <w:bCs/>
          <w:sz w:val="22"/>
          <w:szCs w:val="22"/>
        </w:rPr>
        <w:t>Pierwsze sygnały poprawy</w:t>
      </w:r>
      <w:r w:rsidR="00ED168B">
        <w:rPr>
          <w:b/>
          <w:bCs/>
          <w:sz w:val="22"/>
          <w:szCs w:val="22"/>
        </w:rPr>
        <w:t xml:space="preserve">, ale bez nadmiernego optymizmu </w:t>
      </w:r>
    </w:p>
    <w:p w14:paraId="33369A2F" w14:textId="77777777" w:rsidR="000D2FDA" w:rsidRDefault="000D2FDA" w:rsidP="00827427">
      <w:pPr>
        <w:jc w:val="both"/>
        <w:rPr>
          <w:sz w:val="22"/>
          <w:szCs w:val="22"/>
        </w:rPr>
      </w:pPr>
    </w:p>
    <w:p w14:paraId="3CCFB6DA" w14:textId="3CEB0D1D" w:rsidR="00827427" w:rsidRPr="0089220B" w:rsidRDefault="00827427" w:rsidP="00827427">
      <w:pPr>
        <w:jc w:val="both"/>
        <w:rPr>
          <w:sz w:val="22"/>
          <w:szCs w:val="22"/>
        </w:rPr>
      </w:pPr>
      <w:r w:rsidRPr="0089220B">
        <w:rPr>
          <w:sz w:val="22"/>
          <w:szCs w:val="22"/>
        </w:rPr>
        <w:t xml:space="preserve">Ubiegły rok przyniósł przełamanie </w:t>
      </w:r>
      <w:r w:rsidR="00CD56F6">
        <w:rPr>
          <w:sz w:val="22"/>
          <w:szCs w:val="22"/>
        </w:rPr>
        <w:t xml:space="preserve">negatywnego </w:t>
      </w:r>
      <w:r w:rsidRPr="0089220B">
        <w:rPr>
          <w:sz w:val="22"/>
          <w:szCs w:val="22"/>
        </w:rPr>
        <w:t>trendu z lat 2023–2024, kiedy równocześnie przybywało zadłużonych firm i kwot z opóźnionych płatności - bieżących rachunków i faktur wobec kontrahentów, a także kredytów. Według danych Rejestru Dłużników BIG InfoMonitor oraz</w:t>
      </w:r>
      <w:r w:rsidR="004D59B9">
        <w:rPr>
          <w:sz w:val="22"/>
          <w:szCs w:val="22"/>
        </w:rPr>
        <w:t xml:space="preserve"> bazy</w:t>
      </w:r>
      <w:r w:rsidRPr="0089220B">
        <w:rPr>
          <w:sz w:val="22"/>
          <w:szCs w:val="22"/>
        </w:rPr>
        <w:t xml:space="preserve"> BIK, średni udział </w:t>
      </w:r>
      <w:r w:rsidR="00CD56F6">
        <w:rPr>
          <w:sz w:val="22"/>
          <w:szCs w:val="22"/>
        </w:rPr>
        <w:t xml:space="preserve">niesolidnych </w:t>
      </w:r>
      <w:r w:rsidRPr="0089220B">
        <w:rPr>
          <w:sz w:val="22"/>
          <w:szCs w:val="22"/>
        </w:rPr>
        <w:t>dłużników w gospodarce ustabilizował się na poziomie około 5 proc.</w:t>
      </w:r>
    </w:p>
    <w:p w14:paraId="07A6ABCE" w14:textId="5DABB929" w:rsidR="00827427" w:rsidRPr="00827427" w:rsidRDefault="00827427" w:rsidP="00827427">
      <w:pPr>
        <w:tabs>
          <w:tab w:val="num" w:pos="720"/>
        </w:tabs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 xml:space="preserve">W 2025 roku łączna kwota zaległości rosła wolniej niż w latach ubiegłych. Przybyło 1,24 mld zł </w:t>
      </w:r>
      <w:r w:rsidR="00CD795A">
        <w:rPr>
          <w:sz w:val="22"/>
          <w:szCs w:val="22"/>
        </w:rPr>
        <w:t xml:space="preserve"> w </w:t>
      </w:r>
      <w:r w:rsidR="00017457">
        <w:rPr>
          <w:sz w:val="22"/>
          <w:szCs w:val="22"/>
        </w:rPr>
        <w:t>porównaniu z</w:t>
      </w:r>
      <w:r w:rsidR="00CD795A">
        <w:rPr>
          <w:sz w:val="22"/>
          <w:szCs w:val="22"/>
        </w:rPr>
        <w:t xml:space="preserve"> 1,95 </w:t>
      </w:r>
      <w:r w:rsidR="00017457">
        <w:rPr>
          <w:sz w:val="22"/>
          <w:szCs w:val="22"/>
        </w:rPr>
        <w:t>mld rok</w:t>
      </w:r>
      <w:r w:rsidR="00CD795A">
        <w:rPr>
          <w:sz w:val="22"/>
          <w:szCs w:val="22"/>
        </w:rPr>
        <w:t xml:space="preserve"> wcześniej. </w:t>
      </w:r>
      <w:r w:rsidR="00CD795A" w:rsidRPr="00CD795A">
        <w:rPr>
          <w:sz w:val="22"/>
          <w:szCs w:val="22"/>
        </w:rPr>
        <w:t>Oznacza to</w:t>
      </w:r>
      <w:r w:rsidR="00CD795A">
        <w:rPr>
          <w:sz w:val="22"/>
          <w:szCs w:val="22"/>
        </w:rPr>
        <w:t xml:space="preserve">, że wraz z ożywieniem gospodarczym </w:t>
      </w:r>
      <w:r w:rsidR="00CD795A" w:rsidRPr="00CD795A">
        <w:rPr>
          <w:sz w:val="22"/>
          <w:szCs w:val="22"/>
        </w:rPr>
        <w:t xml:space="preserve">wyraźne </w:t>
      </w:r>
      <w:r w:rsidR="00CD795A" w:rsidRPr="00CD795A">
        <w:rPr>
          <w:sz w:val="22"/>
          <w:szCs w:val="22"/>
        </w:rPr>
        <w:lastRenderedPageBreak/>
        <w:t>wyhamow</w:t>
      </w:r>
      <w:r w:rsidR="00CD795A">
        <w:rPr>
          <w:sz w:val="22"/>
          <w:szCs w:val="22"/>
        </w:rPr>
        <w:t>uje</w:t>
      </w:r>
      <w:r w:rsidR="00CD795A" w:rsidRPr="00CD795A">
        <w:rPr>
          <w:sz w:val="22"/>
          <w:szCs w:val="22"/>
        </w:rPr>
        <w:t xml:space="preserve"> dynamik</w:t>
      </w:r>
      <w:r w:rsidR="00CD795A">
        <w:rPr>
          <w:sz w:val="22"/>
          <w:szCs w:val="22"/>
        </w:rPr>
        <w:t>a</w:t>
      </w:r>
      <w:r w:rsidR="00CD795A" w:rsidRPr="00CD795A">
        <w:rPr>
          <w:sz w:val="22"/>
          <w:szCs w:val="22"/>
        </w:rPr>
        <w:t xml:space="preserve"> przyrostu długu z </w:t>
      </w:r>
      <w:r w:rsidR="00CD795A" w:rsidRPr="00017457">
        <w:rPr>
          <w:sz w:val="22"/>
          <w:szCs w:val="22"/>
        </w:rPr>
        <w:t>4,7%</w:t>
      </w:r>
      <w:r w:rsidR="00CD795A" w:rsidRPr="00CD795A">
        <w:rPr>
          <w:sz w:val="22"/>
          <w:szCs w:val="22"/>
        </w:rPr>
        <w:t xml:space="preserve"> (2024 r.) do </w:t>
      </w:r>
      <w:r w:rsidR="00CD795A" w:rsidRPr="00017457">
        <w:rPr>
          <w:sz w:val="22"/>
          <w:szCs w:val="22"/>
        </w:rPr>
        <w:t>2,8%</w:t>
      </w:r>
      <w:r w:rsidR="00CD795A" w:rsidRPr="00CD795A">
        <w:rPr>
          <w:sz w:val="22"/>
          <w:szCs w:val="22"/>
        </w:rPr>
        <w:t xml:space="preserve"> (2025 r.). Dla porównania, jeszcze w 2023 roku tempo wzrostu wynosiło aż </w:t>
      </w:r>
      <w:r w:rsidR="00CD795A" w:rsidRPr="00017457">
        <w:rPr>
          <w:sz w:val="22"/>
          <w:szCs w:val="22"/>
        </w:rPr>
        <w:t>6%</w:t>
      </w:r>
      <w:r w:rsidR="00CD795A" w:rsidRPr="00CD795A">
        <w:rPr>
          <w:sz w:val="22"/>
          <w:szCs w:val="22"/>
        </w:rPr>
        <w:t>.</w:t>
      </w:r>
      <w:r w:rsidR="00CD795A">
        <w:rPr>
          <w:sz w:val="22"/>
          <w:szCs w:val="22"/>
        </w:rPr>
        <w:t xml:space="preserve"> </w:t>
      </w:r>
    </w:p>
    <w:p w14:paraId="2019B2D0" w14:textId="42E354F2" w:rsidR="00827427" w:rsidRPr="00827427" w:rsidRDefault="00827427" w:rsidP="00827427">
      <w:pPr>
        <w:tabs>
          <w:tab w:val="num" w:pos="720"/>
        </w:tabs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 xml:space="preserve">Korzystnym sygnałem jest również spadek liczby niesolidnych płatników. W 2025 roku z </w:t>
      </w:r>
      <w:r w:rsidR="00CD56F6">
        <w:rPr>
          <w:sz w:val="22"/>
          <w:szCs w:val="22"/>
        </w:rPr>
        <w:t xml:space="preserve">obu </w:t>
      </w:r>
      <w:r w:rsidRPr="00827427">
        <w:rPr>
          <w:sz w:val="22"/>
          <w:szCs w:val="22"/>
        </w:rPr>
        <w:t>baz ubyło blisko 22 tys. podmiotów. Dla porównania – rok wcześniej odnotowano wzrost o 12,3 tys. nieterminowo rozliczających się firm.</w:t>
      </w:r>
    </w:p>
    <w:p w14:paraId="14ED9927" w14:textId="1E58C312" w:rsidR="00827427" w:rsidRPr="00827427" w:rsidRDefault="00827427" w:rsidP="00827427">
      <w:pPr>
        <w:tabs>
          <w:tab w:val="num" w:pos="720"/>
        </w:tabs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 xml:space="preserve">Mimo </w:t>
      </w:r>
      <w:r w:rsidR="00017457">
        <w:rPr>
          <w:sz w:val="22"/>
          <w:szCs w:val="22"/>
        </w:rPr>
        <w:t xml:space="preserve">spadku </w:t>
      </w:r>
      <w:r w:rsidR="00017457" w:rsidRPr="00827427">
        <w:rPr>
          <w:sz w:val="22"/>
          <w:szCs w:val="22"/>
        </w:rPr>
        <w:t>liczby</w:t>
      </w:r>
      <w:r w:rsidRPr="00827427">
        <w:rPr>
          <w:sz w:val="22"/>
          <w:szCs w:val="22"/>
        </w:rPr>
        <w:t xml:space="preserve"> </w:t>
      </w:r>
      <w:r w:rsidR="00CD56F6">
        <w:rPr>
          <w:sz w:val="22"/>
          <w:szCs w:val="22"/>
        </w:rPr>
        <w:t xml:space="preserve">niesolidnych </w:t>
      </w:r>
      <w:r w:rsidRPr="00827427">
        <w:rPr>
          <w:sz w:val="22"/>
          <w:szCs w:val="22"/>
        </w:rPr>
        <w:t>dłużników niepokoi fakt, że średnia kwota długu przypadająca na jednego przedsiębiorcę staje się coraz wyższa: 2023: 131 218 zł, 2024: 132 241 zł, 2025: 145 612 zł.</w:t>
      </w:r>
    </w:p>
    <w:p w14:paraId="7A191A7F" w14:textId="30A4BB86" w:rsidR="00827427" w:rsidRPr="004D59B9" w:rsidRDefault="00827427" w:rsidP="00827427">
      <w:pPr>
        <w:tabs>
          <w:tab w:val="num" w:pos="720"/>
        </w:tabs>
        <w:spacing w:before="120" w:line="320" w:lineRule="exact"/>
        <w:jc w:val="both"/>
        <w:rPr>
          <w:b/>
          <w:bCs/>
          <w:sz w:val="22"/>
          <w:szCs w:val="22"/>
        </w:rPr>
      </w:pPr>
      <w:r w:rsidRPr="00827427">
        <w:rPr>
          <w:sz w:val="22"/>
          <w:szCs w:val="22"/>
        </w:rPr>
        <w:t xml:space="preserve">Znaczący skok nastąpił w ostatnim roku - o blisko 13,4 tys. zł, podczas gdy rok wcześniej było to zaledwie nieco ponad 1 tys. zł. </w:t>
      </w:r>
      <w:r w:rsidR="004D59B9">
        <w:rPr>
          <w:sz w:val="22"/>
          <w:szCs w:val="22"/>
        </w:rPr>
        <w:t xml:space="preserve"> - </w:t>
      </w:r>
      <w:r w:rsidR="00821873" w:rsidRPr="004D59B9">
        <w:rPr>
          <w:i/>
          <w:iCs/>
          <w:sz w:val="22"/>
          <w:szCs w:val="22"/>
        </w:rPr>
        <w:t>Tak gwałtowny przyrost kwoty długu przy mniejszej liczbie dłużników dowodzi, że problemy finansowe „puchną” u firm już zadłużonych. Dla kontrahentów oznacza to radykalny wzrost ryzyka transakcyjnego – współpraca z podmiotem posiadającym zaległości staje się dziś znacznie bardziej niebezpieczna niż dwa lata temu</w:t>
      </w:r>
      <w:r w:rsidR="004D59B9">
        <w:rPr>
          <w:sz w:val="22"/>
          <w:szCs w:val="22"/>
        </w:rPr>
        <w:t xml:space="preserve"> – zwraca uwagę</w:t>
      </w:r>
      <w:r w:rsidR="004D59B9" w:rsidRPr="004D59B9">
        <w:t xml:space="preserve"> </w:t>
      </w:r>
      <w:r w:rsidR="004D59B9" w:rsidRPr="004D59B9">
        <w:rPr>
          <w:b/>
          <w:bCs/>
          <w:sz w:val="22"/>
          <w:szCs w:val="22"/>
        </w:rPr>
        <w:t>Paweł Szarkowski, prezes BIG InfoMonitor.</w:t>
      </w:r>
    </w:p>
    <w:p w14:paraId="7619A9D2" w14:textId="33676FC5" w:rsidR="007678AD" w:rsidRPr="007678AD" w:rsidRDefault="007678AD" w:rsidP="008E3BE3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b/>
          <w:bCs/>
        </w:rPr>
      </w:pPr>
      <w:r w:rsidRPr="007678AD">
        <w:rPr>
          <w:rFonts w:ascii="Calibri" w:hAnsi="Calibri" w:cs="Calibri"/>
          <w:b/>
          <w:bCs/>
        </w:rPr>
        <w:t xml:space="preserve">4 sektory w spirali </w:t>
      </w:r>
      <w:r w:rsidR="00CD56F6">
        <w:rPr>
          <w:rFonts w:ascii="Calibri" w:hAnsi="Calibri" w:cs="Calibri"/>
          <w:b/>
          <w:bCs/>
        </w:rPr>
        <w:t xml:space="preserve">przeterminowanych </w:t>
      </w:r>
      <w:r w:rsidRPr="007678AD">
        <w:rPr>
          <w:rFonts w:ascii="Calibri" w:hAnsi="Calibri" w:cs="Calibri"/>
          <w:b/>
          <w:bCs/>
        </w:rPr>
        <w:t>długów</w:t>
      </w:r>
    </w:p>
    <w:p w14:paraId="43A2B6AB" w14:textId="351078BB" w:rsidR="007678AD" w:rsidRPr="00827427" w:rsidRDefault="00821873" w:rsidP="007678AD">
      <w:pPr>
        <w:spacing w:before="120"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7678AD" w:rsidRPr="00827427">
        <w:rPr>
          <w:sz w:val="22"/>
          <w:szCs w:val="22"/>
        </w:rPr>
        <w:t>iderem pod względem kwoty zaległości pozostaje Handel (hurt i detal) - 8,7 mld zł, a następnie Przemysł - 7,5 mld zł, Budownictwo - 5,9 mld zł oraz sektor TSL - 3,3 mld zł.</w:t>
      </w:r>
      <w:r w:rsidR="00312824">
        <w:rPr>
          <w:sz w:val="22"/>
          <w:szCs w:val="22"/>
        </w:rPr>
        <w:t xml:space="preserve"> Spośród tych TOP 4 sektorów, tylko w handlu i TSL widać lekką poprawę – spadek zaległości o kolejno 3 i 1 proc. w porównaniu z grudniem 2024.</w:t>
      </w:r>
    </w:p>
    <w:p w14:paraId="5446945D" w14:textId="77777777" w:rsidR="007678AD" w:rsidRPr="00827427" w:rsidRDefault="007678AD" w:rsidP="007678AD">
      <w:pPr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Sytuacja wewnątrz branż jest jednak zróżnicowana:</w:t>
      </w:r>
    </w:p>
    <w:p w14:paraId="32B6903F" w14:textId="77777777" w:rsidR="007678AD" w:rsidRPr="00827427" w:rsidRDefault="007678AD" w:rsidP="007678AD">
      <w:pPr>
        <w:numPr>
          <w:ilvl w:val="0"/>
          <w:numId w:val="10"/>
        </w:numPr>
        <w:spacing w:line="320" w:lineRule="exact"/>
        <w:ind w:left="714" w:hanging="357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Przemysł: wzrost zadłużenia o 686 mln zł (10 proc. r/r).</w:t>
      </w:r>
    </w:p>
    <w:p w14:paraId="20C8A046" w14:textId="77777777" w:rsidR="007678AD" w:rsidRPr="00827427" w:rsidRDefault="007678AD" w:rsidP="007678AD">
      <w:pPr>
        <w:numPr>
          <w:ilvl w:val="0"/>
          <w:numId w:val="10"/>
        </w:numPr>
        <w:spacing w:line="320" w:lineRule="exact"/>
        <w:ind w:left="714" w:hanging="357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Budownictwo: skok o 295,2 mln zł (5,3 proc. r/r).</w:t>
      </w:r>
    </w:p>
    <w:p w14:paraId="4BB959AC" w14:textId="77777777" w:rsidR="007678AD" w:rsidRPr="00827427" w:rsidRDefault="007678AD" w:rsidP="007678AD">
      <w:pPr>
        <w:numPr>
          <w:ilvl w:val="0"/>
          <w:numId w:val="10"/>
        </w:numPr>
        <w:spacing w:line="320" w:lineRule="exact"/>
        <w:ind w:left="714" w:hanging="357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Nieruchomości: drastyczny wzrost o 533,5 mln zł (aż 21,4 proc.).</w:t>
      </w:r>
    </w:p>
    <w:p w14:paraId="20B1F6D3" w14:textId="77777777" w:rsidR="007678AD" w:rsidRPr="00827427" w:rsidRDefault="007678AD" w:rsidP="007678AD">
      <w:pPr>
        <w:numPr>
          <w:ilvl w:val="0"/>
          <w:numId w:val="10"/>
        </w:numPr>
        <w:spacing w:line="320" w:lineRule="exact"/>
        <w:ind w:left="714" w:hanging="357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Działalność profesjonalna, naukowa i techniczna: przekroczenie poziomu 3 mld zł długu (wzrost o 9,4 proc.).</w:t>
      </w:r>
    </w:p>
    <w:p w14:paraId="5AAF2246" w14:textId="29BEE65C" w:rsidR="007678AD" w:rsidRPr="00827427" w:rsidRDefault="007678AD" w:rsidP="00821873">
      <w:pPr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 xml:space="preserve">Analiza danych pokazuje, że ryzyko współpracy z </w:t>
      </w:r>
      <w:r w:rsidR="00CD56F6">
        <w:rPr>
          <w:sz w:val="22"/>
          <w:szCs w:val="22"/>
        </w:rPr>
        <w:t>kontrahentami</w:t>
      </w:r>
      <w:r w:rsidR="00CD56F6" w:rsidRPr="00827427">
        <w:rPr>
          <w:sz w:val="22"/>
          <w:szCs w:val="22"/>
        </w:rPr>
        <w:t xml:space="preserve"> </w:t>
      </w:r>
      <w:r w:rsidRPr="00827427">
        <w:rPr>
          <w:sz w:val="22"/>
          <w:szCs w:val="22"/>
        </w:rPr>
        <w:t>jest obecnie bardzo wysokie</w:t>
      </w:r>
      <w:r w:rsidR="00821873">
        <w:rPr>
          <w:sz w:val="22"/>
          <w:szCs w:val="22"/>
        </w:rPr>
        <w:t xml:space="preserve"> i silnie skorelowane z konkretną branżą</w:t>
      </w:r>
      <w:r w:rsidRPr="00827427">
        <w:rPr>
          <w:sz w:val="22"/>
          <w:szCs w:val="22"/>
        </w:rPr>
        <w:t xml:space="preserve">. </w:t>
      </w:r>
    </w:p>
    <w:p w14:paraId="0BC2CFD8" w14:textId="22BFE911" w:rsidR="007678AD" w:rsidRPr="00827427" w:rsidRDefault="007678AD" w:rsidP="007678AD">
      <w:pPr>
        <w:numPr>
          <w:ilvl w:val="0"/>
          <w:numId w:val="11"/>
        </w:numPr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 xml:space="preserve">Branża TSL (Transport i </w:t>
      </w:r>
      <w:r w:rsidR="00017457" w:rsidRPr="00827427">
        <w:rPr>
          <w:sz w:val="22"/>
          <w:szCs w:val="22"/>
        </w:rPr>
        <w:t>Logistyka)</w:t>
      </w:r>
      <w:r w:rsidR="00017457">
        <w:rPr>
          <w:sz w:val="22"/>
          <w:szCs w:val="22"/>
        </w:rPr>
        <w:t xml:space="preserve"> to</w:t>
      </w:r>
      <w:r w:rsidRPr="00827427">
        <w:rPr>
          <w:sz w:val="22"/>
          <w:szCs w:val="22"/>
        </w:rPr>
        <w:t xml:space="preserve"> lider problemów finansowych. Aż 8,6</w:t>
      </w:r>
      <w:r w:rsidR="00652607">
        <w:rPr>
          <w:sz w:val="22"/>
          <w:szCs w:val="22"/>
        </w:rPr>
        <w:t xml:space="preserve"> proc.</w:t>
      </w:r>
      <w:r w:rsidRPr="00827427">
        <w:rPr>
          <w:sz w:val="22"/>
          <w:szCs w:val="22"/>
        </w:rPr>
        <w:t xml:space="preserve"> firm ma kłopoty.</w:t>
      </w:r>
      <w:r w:rsidR="002740FA">
        <w:rPr>
          <w:sz w:val="22"/>
          <w:szCs w:val="22"/>
        </w:rPr>
        <w:t xml:space="preserve"> </w:t>
      </w:r>
      <w:r w:rsidRPr="00827427">
        <w:rPr>
          <w:sz w:val="22"/>
          <w:szCs w:val="22"/>
        </w:rPr>
        <w:t xml:space="preserve"> W praktyce oznacza to, że co dwunasta firma transportowa </w:t>
      </w:r>
      <w:r w:rsidR="00CD56F6">
        <w:rPr>
          <w:sz w:val="22"/>
          <w:szCs w:val="22"/>
        </w:rPr>
        <w:t>nieterminowo reguluje swoje zobowiązania</w:t>
      </w:r>
      <w:r w:rsidRPr="00827427">
        <w:rPr>
          <w:sz w:val="22"/>
          <w:szCs w:val="22"/>
        </w:rPr>
        <w:t>, co czyni współpracę z nią bardzo ryzykowną.</w:t>
      </w:r>
    </w:p>
    <w:p w14:paraId="4BAC40F9" w14:textId="1B9817B7" w:rsidR="007678AD" w:rsidRPr="00827427" w:rsidRDefault="007678AD" w:rsidP="007678AD">
      <w:pPr>
        <w:numPr>
          <w:ilvl w:val="0"/>
          <w:numId w:val="11"/>
        </w:numPr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Inne ryzykowne sektory</w:t>
      </w:r>
      <w:r w:rsidR="004D59B9">
        <w:rPr>
          <w:sz w:val="22"/>
          <w:szCs w:val="22"/>
        </w:rPr>
        <w:t xml:space="preserve"> </w:t>
      </w:r>
      <w:r w:rsidR="002740FA">
        <w:rPr>
          <w:sz w:val="22"/>
          <w:szCs w:val="22"/>
        </w:rPr>
        <w:t xml:space="preserve">to </w:t>
      </w:r>
      <w:r w:rsidRPr="00827427">
        <w:rPr>
          <w:sz w:val="22"/>
          <w:szCs w:val="22"/>
        </w:rPr>
        <w:t>gospodar</w:t>
      </w:r>
      <w:r w:rsidR="002740FA">
        <w:rPr>
          <w:sz w:val="22"/>
          <w:szCs w:val="22"/>
        </w:rPr>
        <w:t>ka</w:t>
      </w:r>
      <w:r w:rsidRPr="00827427">
        <w:rPr>
          <w:sz w:val="22"/>
          <w:szCs w:val="22"/>
        </w:rPr>
        <w:t xml:space="preserve"> odpadami i ściekami (7,1</w:t>
      </w:r>
      <w:r w:rsidR="00652607">
        <w:rPr>
          <w:sz w:val="22"/>
          <w:szCs w:val="22"/>
        </w:rPr>
        <w:t xml:space="preserve"> proc.</w:t>
      </w:r>
      <w:r w:rsidRPr="00827427">
        <w:rPr>
          <w:sz w:val="22"/>
          <w:szCs w:val="22"/>
        </w:rPr>
        <w:t>) oraz w górnictw</w:t>
      </w:r>
      <w:r w:rsidR="002740FA">
        <w:rPr>
          <w:sz w:val="22"/>
          <w:szCs w:val="22"/>
        </w:rPr>
        <w:t>o</w:t>
      </w:r>
      <w:r w:rsidRPr="00827427">
        <w:rPr>
          <w:sz w:val="22"/>
          <w:szCs w:val="22"/>
        </w:rPr>
        <w:t xml:space="preserve"> (6,7</w:t>
      </w:r>
      <w:r w:rsidR="00652607">
        <w:rPr>
          <w:sz w:val="22"/>
          <w:szCs w:val="22"/>
        </w:rPr>
        <w:t xml:space="preserve"> proc.</w:t>
      </w:r>
      <w:r w:rsidRPr="00827427">
        <w:rPr>
          <w:sz w:val="22"/>
          <w:szCs w:val="22"/>
        </w:rPr>
        <w:t xml:space="preserve">). Wyniki te są znacznie gorsze niż średnia dla </w:t>
      </w:r>
      <w:r w:rsidR="00CD56F6">
        <w:rPr>
          <w:sz w:val="22"/>
          <w:szCs w:val="22"/>
        </w:rPr>
        <w:t>pozostałych branż</w:t>
      </w:r>
      <w:r w:rsidRPr="00827427">
        <w:rPr>
          <w:sz w:val="22"/>
          <w:szCs w:val="22"/>
        </w:rPr>
        <w:t>.</w:t>
      </w:r>
    </w:p>
    <w:p w14:paraId="44F76CAD" w14:textId="57D393B7" w:rsidR="007678AD" w:rsidRDefault="007678AD" w:rsidP="007678AD">
      <w:pPr>
        <w:spacing w:before="120" w:line="320" w:lineRule="exact"/>
        <w:jc w:val="both"/>
        <w:rPr>
          <w:sz w:val="22"/>
          <w:szCs w:val="22"/>
        </w:rPr>
      </w:pPr>
      <w:r w:rsidRPr="00827427">
        <w:rPr>
          <w:sz w:val="22"/>
          <w:szCs w:val="22"/>
        </w:rPr>
        <w:t>Ogólne statystyki to nie wszystko. Jeśli przyjrzymy się konkretnym usługom (kodom PKD), sytuacja wygląda jeszcze gorzej, np.: wynajem aut (PKD 7711Z) - problemy ma około 16</w:t>
      </w:r>
      <w:r w:rsidR="00652607">
        <w:rPr>
          <w:sz w:val="22"/>
          <w:szCs w:val="22"/>
        </w:rPr>
        <w:t xml:space="preserve"> proc.</w:t>
      </w:r>
      <w:r w:rsidRPr="00827427">
        <w:rPr>
          <w:sz w:val="22"/>
          <w:szCs w:val="22"/>
        </w:rPr>
        <w:t xml:space="preserve"> firm, produkcja margaryny (PKD 1042Z) - tu aż 27</w:t>
      </w:r>
      <w:r w:rsidR="00652607">
        <w:rPr>
          <w:sz w:val="22"/>
          <w:szCs w:val="22"/>
        </w:rPr>
        <w:t xml:space="preserve"> proc.</w:t>
      </w:r>
      <w:r w:rsidRPr="00827427">
        <w:rPr>
          <w:sz w:val="22"/>
          <w:szCs w:val="22"/>
        </w:rPr>
        <w:t xml:space="preserve"> podmiotów to </w:t>
      </w:r>
      <w:r w:rsidR="00CD56F6">
        <w:rPr>
          <w:sz w:val="22"/>
          <w:szCs w:val="22"/>
        </w:rPr>
        <w:t xml:space="preserve">niesolidni </w:t>
      </w:r>
      <w:r w:rsidRPr="00827427">
        <w:rPr>
          <w:sz w:val="22"/>
          <w:szCs w:val="22"/>
        </w:rPr>
        <w:t>dłużnicy.</w:t>
      </w:r>
      <w:r w:rsidR="00CD38DA">
        <w:rPr>
          <w:sz w:val="22"/>
          <w:szCs w:val="22"/>
        </w:rPr>
        <w:t xml:space="preserve"> </w:t>
      </w:r>
      <w:r w:rsidR="002740FA" w:rsidRPr="002740FA">
        <w:rPr>
          <w:sz w:val="22"/>
          <w:szCs w:val="22"/>
        </w:rPr>
        <w:t xml:space="preserve">Obecna sytuacja rynkowa wymusza na firmach rygorystyczne podejście do badania wiarygodności płatniczej. W wybranych branżach prawdopodobieństwo nawiązania relacji z podmiotem </w:t>
      </w:r>
      <w:r w:rsidR="002740FA">
        <w:rPr>
          <w:sz w:val="22"/>
          <w:szCs w:val="22"/>
        </w:rPr>
        <w:t>z problemami finansowymi</w:t>
      </w:r>
      <w:r w:rsidR="002740FA" w:rsidRPr="002740FA">
        <w:rPr>
          <w:sz w:val="22"/>
          <w:szCs w:val="22"/>
        </w:rPr>
        <w:t xml:space="preserve"> jest </w:t>
      </w:r>
      <w:r w:rsidRPr="00827427">
        <w:rPr>
          <w:sz w:val="22"/>
          <w:szCs w:val="22"/>
        </w:rPr>
        <w:t>bardzo wysokie.</w:t>
      </w:r>
    </w:p>
    <w:p w14:paraId="6A33CD6B" w14:textId="747A6EAC" w:rsidR="00652607" w:rsidRPr="00652607" w:rsidRDefault="00652607" w:rsidP="007678AD">
      <w:pPr>
        <w:spacing w:before="120" w:line="320" w:lineRule="exact"/>
        <w:jc w:val="both"/>
        <w:rPr>
          <w:b/>
          <w:bCs/>
          <w:sz w:val="22"/>
          <w:szCs w:val="22"/>
        </w:rPr>
      </w:pPr>
      <w:r w:rsidRPr="00652607">
        <w:rPr>
          <w:b/>
          <w:bCs/>
          <w:sz w:val="22"/>
          <w:szCs w:val="22"/>
        </w:rPr>
        <w:t>Niepewna przyszłość</w:t>
      </w:r>
    </w:p>
    <w:p w14:paraId="66249DE9" w14:textId="77777777" w:rsidR="009E536C" w:rsidRPr="00652607" w:rsidRDefault="009E536C" w:rsidP="009E536C">
      <w:pPr>
        <w:jc w:val="both"/>
      </w:pPr>
    </w:p>
    <w:p w14:paraId="24D168C9" w14:textId="571595AD" w:rsidR="009E536C" w:rsidRPr="00652607" w:rsidRDefault="009E536C" w:rsidP="00652607">
      <w:pPr>
        <w:tabs>
          <w:tab w:val="num" w:pos="720"/>
        </w:tabs>
        <w:jc w:val="both"/>
        <w:rPr>
          <w:sz w:val="22"/>
          <w:szCs w:val="22"/>
        </w:rPr>
      </w:pPr>
      <w:r w:rsidRPr="00652607">
        <w:rPr>
          <w:b/>
          <w:bCs/>
          <w:sz w:val="22"/>
          <w:szCs w:val="22"/>
        </w:rPr>
        <w:lastRenderedPageBreak/>
        <w:t xml:space="preserve">- </w:t>
      </w:r>
      <w:r w:rsidR="00AF6AB0" w:rsidRPr="00652607">
        <w:rPr>
          <w:i/>
          <w:iCs/>
          <w:sz w:val="22"/>
          <w:szCs w:val="22"/>
        </w:rPr>
        <w:t>Rok 2025 był dla przedsiębiorstw okresem stopniowej stabilizacji po trudnym 2024, choć rozwój sytuacji był silnie zróżnicowany branżowo i geograficznie. Jednocześnie globalne otoczenie było obciążone ryzykiem geopolitycznym (Ukraina, Bliski Wschód) oraz narastającymi napięciami handlowymi między UE a USA, w tym nowymi taryfami wynikającymi z porozumienia handlowego. W 2024 r. dynamiczne wzrosty wynagrodzeń obciążały koszty firm — efekt ten był wciąż widoczny w 2025 r. Przedsiębiorstwa były pod silną presj</w:t>
      </w:r>
      <w:r w:rsidR="008231CB">
        <w:rPr>
          <w:i/>
          <w:iCs/>
          <w:sz w:val="22"/>
          <w:szCs w:val="22"/>
        </w:rPr>
        <w:t>ą</w:t>
      </w:r>
      <w:r w:rsidR="00AF6AB0" w:rsidRPr="00652607">
        <w:rPr>
          <w:i/>
          <w:iCs/>
          <w:sz w:val="22"/>
          <w:szCs w:val="22"/>
        </w:rPr>
        <w:t xml:space="preserve"> płacową, rosnące koszty pracy oraz import tańszych produktów i towarów z Chin negatywnie wpływały na marże. Coraz trudniejsze było również przerzucanie rosnących kosztów na klientów. Eksporterzy mierzyli się z osłabionym popytem w UE, umacniającym się złotym, obniżającym konkurencyjność eksportu. Niepewność gospodarcza i regulacyjna przełożyła się na wyraźne ograniczenie planów inwestycyjnych </w:t>
      </w:r>
      <w:r w:rsidR="00017457" w:rsidRPr="00652607">
        <w:rPr>
          <w:i/>
          <w:iCs/>
          <w:sz w:val="22"/>
          <w:szCs w:val="22"/>
        </w:rPr>
        <w:t>przedsiębiorstw</w:t>
      </w:r>
      <w:r w:rsidR="00017457">
        <w:rPr>
          <w:i/>
          <w:iCs/>
          <w:sz w:val="22"/>
          <w:szCs w:val="22"/>
        </w:rPr>
        <w:t>,</w:t>
      </w:r>
      <w:r w:rsidR="00AF6AB0" w:rsidRPr="00652607">
        <w:rPr>
          <w:i/>
          <w:iCs/>
          <w:sz w:val="22"/>
          <w:szCs w:val="22"/>
        </w:rPr>
        <w:t xml:space="preserve"> choć widać było pierwsze oznaki ożywienia. </w:t>
      </w:r>
      <w:r w:rsidR="00312824">
        <w:rPr>
          <w:i/>
          <w:iCs/>
          <w:sz w:val="22"/>
          <w:szCs w:val="22"/>
        </w:rPr>
        <w:t>Punktem zwrotnym</w:t>
      </w:r>
      <w:r w:rsidR="00AF6AB0" w:rsidRPr="00652607">
        <w:rPr>
          <w:i/>
          <w:iCs/>
          <w:sz w:val="22"/>
          <w:szCs w:val="22"/>
        </w:rPr>
        <w:t xml:space="preserve"> początku 2026 r. jest jednak konflikt na Bliskim Wschodzie. To jakie skutki gospodarcze</w:t>
      </w:r>
      <w:r w:rsidR="00652607" w:rsidRPr="00652607">
        <w:rPr>
          <w:i/>
          <w:iCs/>
          <w:sz w:val="22"/>
          <w:szCs w:val="22"/>
        </w:rPr>
        <w:t xml:space="preserve"> przyniesie</w:t>
      </w:r>
      <w:r w:rsidR="00AF6AB0" w:rsidRPr="00652607">
        <w:rPr>
          <w:i/>
          <w:iCs/>
          <w:sz w:val="22"/>
          <w:szCs w:val="22"/>
        </w:rPr>
        <w:t xml:space="preserve"> zależy przede wszystkim od tego jak długo będzie on trwał. </w:t>
      </w:r>
      <w:r w:rsidR="00017457">
        <w:rPr>
          <w:i/>
          <w:iCs/>
          <w:sz w:val="22"/>
          <w:szCs w:val="22"/>
        </w:rPr>
        <w:t xml:space="preserve">Dynamiczne </w:t>
      </w:r>
      <w:r w:rsidR="00017457" w:rsidRPr="00652607">
        <w:rPr>
          <w:i/>
          <w:iCs/>
          <w:sz w:val="22"/>
          <w:szCs w:val="22"/>
        </w:rPr>
        <w:t>wzrosty</w:t>
      </w:r>
      <w:r w:rsidR="00AF6AB0" w:rsidRPr="00652607">
        <w:rPr>
          <w:i/>
          <w:iCs/>
          <w:sz w:val="22"/>
          <w:szCs w:val="22"/>
        </w:rPr>
        <w:t xml:space="preserve"> na rynku ropy i gazu, które utrzymałyby się przez dłuższy okres</w:t>
      </w:r>
      <w:r w:rsidR="00652607" w:rsidRPr="00652607">
        <w:rPr>
          <w:i/>
          <w:iCs/>
          <w:sz w:val="22"/>
          <w:szCs w:val="22"/>
        </w:rPr>
        <w:t>,</w:t>
      </w:r>
      <w:r w:rsidR="00AF6AB0" w:rsidRPr="00652607">
        <w:rPr>
          <w:i/>
          <w:iCs/>
          <w:sz w:val="22"/>
          <w:szCs w:val="22"/>
        </w:rPr>
        <w:t xml:space="preserve"> przyczynią się do wzrostu inflacji i wyhamowania ożywienia</w:t>
      </w:r>
      <w:r w:rsidR="00EC4376">
        <w:rPr>
          <w:i/>
          <w:iCs/>
          <w:sz w:val="22"/>
          <w:szCs w:val="22"/>
        </w:rPr>
        <w:t>,</w:t>
      </w:r>
      <w:r w:rsidR="00AF6AB0" w:rsidRPr="00652607">
        <w:rPr>
          <w:i/>
          <w:iCs/>
          <w:sz w:val="22"/>
          <w:szCs w:val="22"/>
        </w:rPr>
        <w:t xml:space="preserve"> mogą wywołać spowolnienie a skrajnym scenariuszu kryzys. Może to wprowadzić wiele gospodarek na tory stagflacji</w:t>
      </w:r>
      <w:r w:rsidR="00652607" w:rsidRPr="00652607">
        <w:rPr>
          <w:sz w:val="22"/>
          <w:szCs w:val="22"/>
        </w:rPr>
        <w:t xml:space="preserve"> - podsumowuje</w:t>
      </w:r>
      <w:r w:rsidR="00652607" w:rsidRPr="00652607">
        <w:rPr>
          <w:b/>
          <w:bCs/>
          <w:sz w:val="22"/>
          <w:szCs w:val="22"/>
        </w:rPr>
        <w:t xml:space="preserve"> </w:t>
      </w:r>
      <w:r w:rsidRPr="00652607">
        <w:rPr>
          <w:b/>
          <w:bCs/>
          <w:sz w:val="22"/>
          <w:szCs w:val="22"/>
        </w:rPr>
        <w:t>dr hab. Waldemar Rogowski, główny analityk BIG InfoMonitor.</w:t>
      </w:r>
    </w:p>
    <w:p w14:paraId="35E819D9" w14:textId="77777777" w:rsidR="00AD0C57" w:rsidRPr="009D7E66" w:rsidRDefault="00AD0C57" w:rsidP="008E3BE3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sz w:val="22"/>
        </w:rPr>
      </w:pPr>
    </w:p>
    <w:p w14:paraId="401C8BFD" w14:textId="7D1C19BC" w:rsidR="00AF0982" w:rsidRPr="00205A27" w:rsidRDefault="00AF0982" w:rsidP="008E3BE3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</w:t>
      </w:r>
      <w:r w:rsidR="002420BC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</w:t>
      </w:r>
      <w:r w:rsidR="002420BC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49443D84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8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051A" w14:textId="77777777" w:rsidR="000B7266" w:rsidRDefault="000B7266" w:rsidP="006450DE">
      <w:pPr>
        <w:spacing w:line="240" w:lineRule="auto"/>
      </w:pPr>
      <w:r>
        <w:separator/>
      </w:r>
    </w:p>
  </w:endnote>
  <w:endnote w:type="continuationSeparator" w:id="0">
    <w:p w14:paraId="47D896BC" w14:textId="77777777" w:rsidR="000B7266" w:rsidRDefault="000B7266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22D845A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F25E38">
      <w:rPr>
        <w:noProof/>
        <w:color w:val="44546A"/>
      </w:rPr>
      <w:t>4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F25E38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4B10CAC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F25E38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F25E38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A996" w14:textId="77777777" w:rsidR="000B7266" w:rsidRDefault="000B7266" w:rsidP="006450DE">
      <w:pPr>
        <w:spacing w:line="240" w:lineRule="auto"/>
      </w:pPr>
      <w:r>
        <w:separator/>
      </w:r>
    </w:p>
  </w:footnote>
  <w:footnote w:type="continuationSeparator" w:id="0">
    <w:p w14:paraId="41011337" w14:textId="77777777" w:rsidR="000B7266" w:rsidRDefault="000B7266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3F209E"/>
    <w:multiLevelType w:val="hybridMultilevel"/>
    <w:tmpl w:val="E91A3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5E8B"/>
    <w:multiLevelType w:val="multilevel"/>
    <w:tmpl w:val="7E5C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78646A"/>
    <w:multiLevelType w:val="multilevel"/>
    <w:tmpl w:val="E1D8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78368">
    <w:abstractNumId w:val="2"/>
  </w:num>
  <w:num w:numId="2" w16cid:durableId="114258484">
    <w:abstractNumId w:val="5"/>
  </w:num>
  <w:num w:numId="3" w16cid:durableId="577910190">
    <w:abstractNumId w:val="10"/>
  </w:num>
  <w:num w:numId="4" w16cid:durableId="106241030">
    <w:abstractNumId w:val="0"/>
  </w:num>
  <w:num w:numId="5" w16cid:durableId="164781616">
    <w:abstractNumId w:val="11"/>
  </w:num>
  <w:num w:numId="6" w16cid:durableId="667903311">
    <w:abstractNumId w:val="1"/>
  </w:num>
  <w:num w:numId="7" w16cid:durableId="1024751329">
    <w:abstractNumId w:val="9"/>
  </w:num>
  <w:num w:numId="8" w16cid:durableId="1617832630">
    <w:abstractNumId w:val="7"/>
  </w:num>
  <w:num w:numId="9" w16cid:durableId="2127650569">
    <w:abstractNumId w:val="6"/>
  </w:num>
  <w:num w:numId="10" w16cid:durableId="1098061755">
    <w:abstractNumId w:val="4"/>
  </w:num>
  <w:num w:numId="11" w16cid:durableId="817112507">
    <w:abstractNumId w:val="8"/>
  </w:num>
  <w:num w:numId="12" w16cid:durableId="1967000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52E"/>
    <w:rsid w:val="000146AA"/>
    <w:rsid w:val="00017457"/>
    <w:rsid w:val="00021322"/>
    <w:rsid w:val="00022382"/>
    <w:rsid w:val="000232F8"/>
    <w:rsid w:val="0002491D"/>
    <w:rsid w:val="00024F16"/>
    <w:rsid w:val="0002617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45D3D"/>
    <w:rsid w:val="00051247"/>
    <w:rsid w:val="00051D77"/>
    <w:rsid w:val="00052DAD"/>
    <w:rsid w:val="0005480C"/>
    <w:rsid w:val="000561D5"/>
    <w:rsid w:val="00057C8D"/>
    <w:rsid w:val="00066DD5"/>
    <w:rsid w:val="00067450"/>
    <w:rsid w:val="00075B45"/>
    <w:rsid w:val="000760FC"/>
    <w:rsid w:val="000810E1"/>
    <w:rsid w:val="00081C21"/>
    <w:rsid w:val="00083FD4"/>
    <w:rsid w:val="00085A31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B7266"/>
    <w:rsid w:val="000C105E"/>
    <w:rsid w:val="000C1585"/>
    <w:rsid w:val="000C5797"/>
    <w:rsid w:val="000C5C51"/>
    <w:rsid w:val="000C5E32"/>
    <w:rsid w:val="000C782A"/>
    <w:rsid w:val="000C7F5D"/>
    <w:rsid w:val="000D29CE"/>
    <w:rsid w:val="000D2FDA"/>
    <w:rsid w:val="000D784F"/>
    <w:rsid w:val="000E5685"/>
    <w:rsid w:val="000E64E9"/>
    <w:rsid w:val="000E6D1E"/>
    <w:rsid w:val="000E7A3D"/>
    <w:rsid w:val="000F0C54"/>
    <w:rsid w:val="000F24FD"/>
    <w:rsid w:val="000F4006"/>
    <w:rsid w:val="000F578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15814"/>
    <w:rsid w:val="001201B2"/>
    <w:rsid w:val="00121D7B"/>
    <w:rsid w:val="001221A3"/>
    <w:rsid w:val="0012425E"/>
    <w:rsid w:val="00124D83"/>
    <w:rsid w:val="001275A0"/>
    <w:rsid w:val="00133DBF"/>
    <w:rsid w:val="00142006"/>
    <w:rsid w:val="00142C6B"/>
    <w:rsid w:val="00144ADB"/>
    <w:rsid w:val="00154857"/>
    <w:rsid w:val="00154F4C"/>
    <w:rsid w:val="0015504E"/>
    <w:rsid w:val="00155CA9"/>
    <w:rsid w:val="00156037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679E7"/>
    <w:rsid w:val="00170DCC"/>
    <w:rsid w:val="001742E4"/>
    <w:rsid w:val="001746C9"/>
    <w:rsid w:val="001767DD"/>
    <w:rsid w:val="0017790B"/>
    <w:rsid w:val="001802A7"/>
    <w:rsid w:val="001812F7"/>
    <w:rsid w:val="00181575"/>
    <w:rsid w:val="00183751"/>
    <w:rsid w:val="00187034"/>
    <w:rsid w:val="001910BE"/>
    <w:rsid w:val="001939B6"/>
    <w:rsid w:val="0019504D"/>
    <w:rsid w:val="00195D31"/>
    <w:rsid w:val="001974D2"/>
    <w:rsid w:val="00197A37"/>
    <w:rsid w:val="001A0CA3"/>
    <w:rsid w:val="001A0F91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B6BE1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562"/>
    <w:rsid w:val="001D69F3"/>
    <w:rsid w:val="001E13F1"/>
    <w:rsid w:val="001E1FB1"/>
    <w:rsid w:val="001E2B71"/>
    <w:rsid w:val="001F3503"/>
    <w:rsid w:val="001F39F2"/>
    <w:rsid w:val="001F4856"/>
    <w:rsid w:val="001F4ED5"/>
    <w:rsid w:val="001F5A50"/>
    <w:rsid w:val="0020002E"/>
    <w:rsid w:val="00202E27"/>
    <w:rsid w:val="00202E30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1FD0"/>
    <w:rsid w:val="00226D47"/>
    <w:rsid w:val="00227F7D"/>
    <w:rsid w:val="002333CC"/>
    <w:rsid w:val="0023391F"/>
    <w:rsid w:val="002339C6"/>
    <w:rsid w:val="0023419F"/>
    <w:rsid w:val="00234368"/>
    <w:rsid w:val="00240A17"/>
    <w:rsid w:val="002420BC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40FA"/>
    <w:rsid w:val="00274E1B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5C32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B7BB4"/>
    <w:rsid w:val="002C05C9"/>
    <w:rsid w:val="002C0BE5"/>
    <w:rsid w:val="002C45B9"/>
    <w:rsid w:val="002C4CE6"/>
    <w:rsid w:val="002C4DA7"/>
    <w:rsid w:val="002C557C"/>
    <w:rsid w:val="002C6DCB"/>
    <w:rsid w:val="002C798F"/>
    <w:rsid w:val="002C7CDD"/>
    <w:rsid w:val="002D3DFA"/>
    <w:rsid w:val="002D5A94"/>
    <w:rsid w:val="002D6F91"/>
    <w:rsid w:val="002E1E05"/>
    <w:rsid w:val="002E3793"/>
    <w:rsid w:val="002E3929"/>
    <w:rsid w:val="002E4793"/>
    <w:rsid w:val="002E4D41"/>
    <w:rsid w:val="002F0F2E"/>
    <w:rsid w:val="002F208D"/>
    <w:rsid w:val="002F2A9B"/>
    <w:rsid w:val="002F2F36"/>
    <w:rsid w:val="002F63C6"/>
    <w:rsid w:val="00303870"/>
    <w:rsid w:val="0030595E"/>
    <w:rsid w:val="0030753A"/>
    <w:rsid w:val="003121F7"/>
    <w:rsid w:val="00312824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2726C"/>
    <w:rsid w:val="0033010D"/>
    <w:rsid w:val="003301AE"/>
    <w:rsid w:val="00330433"/>
    <w:rsid w:val="00331955"/>
    <w:rsid w:val="00335027"/>
    <w:rsid w:val="003363ED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2574"/>
    <w:rsid w:val="00362DE0"/>
    <w:rsid w:val="00364F6E"/>
    <w:rsid w:val="00365CCF"/>
    <w:rsid w:val="00366836"/>
    <w:rsid w:val="00366A00"/>
    <w:rsid w:val="00370D64"/>
    <w:rsid w:val="003717D9"/>
    <w:rsid w:val="00373BBA"/>
    <w:rsid w:val="003774CC"/>
    <w:rsid w:val="00381BA3"/>
    <w:rsid w:val="00382EDF"/>
    <w:rsid w:val="0038390E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03B"/>
    <w:rsid w:val="003C040B"/>
    <w:rsid w:val="003C08E8"/>
    <w:rsid w:val="003C09FB"/>
    <w:rsid w:val="003C1087"/>
    <w:rsid w:val="003C1D58"/>
    <w:rsid w:val="003C26BB"/>
    <w:rsid w:val="003C36FB"/>
    <w:rsid w:val="003D0360"/>
    <w:rsid w:val="003D0440"/>
    <w:rsid w:val="003D0774"/>
    <w:rsid w:val="003D11F2"/>
    <w:rsid w:val="003D4EC9"/>
    <w:rsid w:val="003D7814"/>
    <w:rsid w:val="003E0028"/>
    <w:rsid w:val="003E1145"/>
    <w:rsid w:val="003E4D23"/>
    <w:rsid w:val="003E55C9"/>
    <w:rsid w:val="003F02D8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0629B"/>
    <w:rsid w:val="0041081F"/>
    <w:rsid w:val="004115D8"/>
    <w:rsid w:val="00411654"/>
    <w:rsid w:val="00422CD7"/>
    <w:rsid w:val="00424BD1"/>
    <w:rsid w:val="00427206"/>
    <w:rsid w:val="00430FCE"/>
    <w:rsid w:val="004317BB"/>
    <w:rsid w:val="0043238A"/>
    <w:rsid w:val="004342B9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47D4"/>
    <w:rsid w:val="00455652"/>
    <w:rsid w:val="00463564"/>
    <w:rsid w:val="0046435C"/>
    <w:rsid w:val="004653DE"/>
    <w:rsid w:val="00470555"/>
    <w:rsid w:val="00473BB0"/>
    <w:rsid w:val="0047656E"/>
    <w:rsid w:val="0048194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6C7"/>
    <w:rsid w:val="004A1C4E"/>
    <w:rsid w:val="004A34A2"/>
    <w:rsid w:val="004A43F6"/>
    <w:rsid w:val="004A514B"/>
    <w:rsid w:val="004A661E"/>
    <w:rsid w:val="004B07F9"/>
    <w:rsid w:val="004B4842"/>
    <w:rsid w:val="004B495F"/>
    <w:rsid w:val="004B5D29"/>
    <w:rsid w:val="004B749A"/>
    <w:rsid w:val="004C4CDE"/>
    <w:rsid w:val="004C7466"/>
    <w:rsid w:val="004C79DA"/>
    <w:rsid w:val="004D072C"/>
    <w:rsid w:val="004D59B9"/>
    <w:rsid w:val="004D718F"/>
    <w:rsid w:val="004D7EAE"/>
    <w:rsid w:val="004E6AFF"/>
    <w:rsid w:val="004F0AFE"/>
    <w:rsid w:val="004F1214"/>
    <w:rsid w:val="004F3068"/>
    <w:rsid w:val="004F527C"/>
    <w:rsid w:val="004F6A89"/>
    <w:rsid w:val="004F7E41"/>
    <w:rsid w:val="00505255"/>
    <w:rsid w:val="0050605E"/>
    <w:rsid w:val="005077A8"/>
    <w:rsid w:val="005079F6"/>
    <w:rsid w:val="00507B60"/>
    <w:rsid w:val="00521308"/>
    <w:rsid w:val="00521C3E"/>
    <w:rsid w:val="00523B1D"/>
    <w:rsid w:val="00526CD9"/>
    <w:rsid w:val="00532EFE"/>
    <w:rsid w:val="005338AB"/>
    <w:rsid w:val="00535AE3"/>
    <w:rsid w:val="0053660B"/>
    <w:rsid w:val="005415ED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2D0A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3D96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589E"/>
    <w:rsid w:val="005B6674"/>
    <w:rsid w:val="005B778C"/>
    <w:rsid w:val="005C0161"/>
    <w:rsid w:val="005C1042"/>
    <w:rsid w:val="005C137C"/>
    <w:rsid w:val="005C262F"/>
    <w:rsid w:val="005C483A"/>
    <w:rsid w:val="005C5079"/>
    <w:rsid w:val="005C5135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5FCF"/>
    <w:rsid w:val="00606578"/>
    <w:rsid w:val="00606FCF"/>
    <w:rsid w:val="00607928"/>
    <w:rsid w:val="00612163"/>
    <w:rsid w:val="006132FF"/>
    <w:rsid w:val="00613651"/>
    <w:rsid w:val="0061376A"/>
    <w:rsid w:val="00613F39"/>
    <w:rsid w:val="00614C55"/>
    <w:rsid w:val="00617D90"/>
    <w:rsid w:val="00620D91"/>
    <w:rsid w:val="00620E3C"/>
    <w:rsid w:val="0062230D"/>
    <w:rsid w:val="0063070D"/>
    <w:rsid w:val="00631716"/>
    <w:rsid w:val="0063270F"/>
    <w:rsid w:val="0063737E"/>
    <w:rsid w:val="006404CE"/>
    <w:rsid w:val="00642814"/>
    <w:rsid w:val="00643EE0"/>
    <w:rsid w:val="006450DE"/>
    <w:rsid w:val="006505E2"/>
    <w:rsid w:val="006519C3"/>
    <w:rsid w:val="00652607"/>
    <w:rsid w:val="0065453E"/>
    <w:rsid w:val="00663103"/>
    <w:rsid w:val="0066484F"/>
    <w:rsid w:val="00664D3A"/>
    <w:rsid w:val="00670CFD"/>
    <w:rsid w:val="006715AF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954B6"/>
    <w:rsid w:val="006A0130"/>
    <w:rsid w:val="006A06AD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4FE6"/>
    <w:rsid w:val="007063A7"/>
    <w:rsid w:val="0071142C"/>
    <w:rsid w:val="00713A1E"/>
    <w:rsid w:val="00714DA0"/>
    <w:rsid w:val="007202BD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56F9A"/>
    <w:rsid w:val="00761918"/>
    <w:rsid w:val="00761FC0"/>
    <w:rsid w:val="00762821"/>
    <w:rsid w:val="00765660"/>
    <w:rsid w:val="007667B5"/>
    <w:rsid w:val="00766A20"/>
    <w:rsid w:val="007678AD"/>
    <w:rsid w:val="00767D9B"/>
    <w:rsid w:val="00772575"/>
    <w:rsid w:val="00772E56"/>
    <w:rsid w:val="00774EF7"/>
    <w:rsid w:val="007760B6"/>
    <w:rsid w:val="00780B28"/>
    <w:rsid w:val="00780C81"/>
    <w:rsid w:val="00781058"/>
    <w:rsid w:val="00782005"/>
    <w:rsid w:val="0078273F"/>
    <w:rsid w:val="007867F3"/>
    <w:rsid w:val="007874DA"/>
    <w:rsid w:val="00787C34"/>
    <w:rsid w:val="00787E97"/>
    <w:rsid w:val="007916A7"/>
    <w:rsid w:val="00791CA9"/>
    <w:rsid w:val="007921D4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5501"/>
    <w:rsid w:val="007B6ADB"/>
    <w:rsid w:val="007B6B74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468C"/>
    <w:rsid w:val="007D6417"/>
    <w:rsid w:val="007D75FE"/>
    <w:rsid w:val="007E000D"/>
    <w:rsid w:val="007E0695"/>
    <w:rsid w:val="007E370A"/>
    <w:rsid w:val="007E4449"/>
    <w:rsid w:val="007E4EED"/>
    <w:rsid w:val="007E5B38"/>
    <w:rsid w:val="007F0106"/>
    <w:rsid w:val="007F21BD"/>
    <w:rsid w:val="00801F5F"/>
    <w:rsid w:val="00811D1F"/>
    <w:rsid w:val="00814299"/>
    <w:rsid w:val="00814566"/>
    <w:rsid w:val="00816A6A"/>
    <w:rsid w:val="00816BBD"/>
    <w:rsid w:val="00816F95"/>
    <w:rsid w:val="008202AE"/>
    <w:rsid w:val="00821873"/>
    <w:rsid w:val="00821EBB"/>
    <w:rsid w:val="0082313B"/>
    <w:rsid w:val="008231CB"/>
    <w:rsid w:val="008232EA"/>
    <w:rsid w:val="00825476"/>
    <w:rsid w:val="00826456"/>
    <w:rsid w:val="00826FEE"/>
    <w:rsid w:val="00827148"/>
    <w:rsid w:val="00827427"/>
    <w:rsid w:val="00827953"/>
    <w:rsid w:val="00831001"/>
    <w:rsid w:val="008315AA"/>
    <w:rsid w:val="00832960"/>
    <w:rsid w:val="00840B12"/>
    <w:rsid w:val="00841131"/>
    <w:rsid w:val="008411E4"/>
    <w:rsid w:val="00850D44"/>
    <w:rsid w:val="00850FDA"/>
    <w:rsid w:val="008513F2"/>
    <w:rsid w:val="008519FD"/>
    <w:rsid w:val="00853618"/>
    <w:rsid w:val="00854C84"/>
    <w:rsid w:val="00855182"/>
    <w:rsid w:val="0085665B"/>
    <w:rsid w:val="00860963"/>
    <w:rsid w:val="00860ED1"/>
    <w:rsid w:val="0086341C"/>
    <w:rsid w:val="00866E66"/>
    <w:rsid w:val="00867EA9"/>
    <w:rsid w:val="00871392"/>
    <w:rsid w:val="00872A14"/>
    <w:rsid w:val="00873293"/>
    <w:rsid w:val="00875F86"/>
    <w:rsid w:val="00877469"/>
    <w:rsid w:val="00881ED0"/>
    <w:rsid w:val="00882B4A"/>
    <w:rsid w:val="0088453A"/>
    <w:rsid w:val="00884550"/>
    <w:rsid w:val="008866C4"/>
    <w:rsid w:val="008877BE"/>
    <w:rsid w:val="0089220B"/>
    <w:rsid w:val="00892FD5"/>
    <w:rsid w:val="00894536"/>
    <w:rsid w:val="0089669F"/>
    <w:rsid w:val="008A19A8"/>
    <w:rsid w:val="008A2001"/>
    <w:rsid w:val="008A298D"/>
    <w:rsid w:val="008A4960"/>
    <w:rsid w:val="008A5E82"/>
    <w:rsid w:val="008A7870"/>
    <w:rsid w:val="008B17BA"/>
    <w:rsid w:val="008B2F09"/>
    <w:rsid w:val="008B632F"/>
    <w:rsid w:val="008C1EB2"/>
    <w:rsid w:val="008C2D82"/>
    <w:rsid w:val="008C4C20"/>
    <w:rsid w:val="008E10A7"/>
    <w:rsid w:val="008E13DF"/>
    <w:rsid w:val="008E3BE3"/>
    <w:rsid w:val="008E3BE7"/>
    <w:rsid w:val="008E6272"/>
    <w:rsid w:val="008E639D"/>
    <w:rsid w:val="008F5D00"/>
    <w:rsid w:val="008F6EB2"/>
    <w:rsid w:val="00900158"/>
    <w:rsid w:val="00901C6C"/>
    <w:rsid w:val="00902ECF"/>
    <w:rsid w:val="00911D8F"/>
    <w:rsid w:val="00912F78"/>
    <w:rsid w:val="009134FE"/>
    <w:rsid w:val="00913F71"/>
    <w:rsid w:val="0092221C"/>
    <w:rsid w:val="0092527D"/>
    <w:rsid w:val="009278F9"/>
    <w:rsid w:val="009308BC"/>
    <w:rsid w:val="00932056"/>
    <w:rsid w:val="009379C0"/>
    <w:rsid w:val="00946C26"/>
    <w:rsid w:val="00951E39"/>
    <w:rsid w:val="00953712"/>
    <w:rsid w:val="009548B5"/>
    <w:rsid w:val="00954CCA"/>
    <w:rsid w:val="00955079"/>
    <w:rsid w:val="009655E2"/>
    <w:rsid w:val="00970C78"/>
    <w:rsid w:val="009770A2"/>
    <w:rsid w:val="00977B40"/>
    <w:rsid w:val="00981311"/>
    <w:rsid w:val="009816C3"/>
    <w:rsid w:val="00985A8D"/>
    <w:rsid w:val="00986BAE"/>
    <w:rsid w:val="00987B06"/>
    <w:rsid w:val="0099564A"/>
    <w:rsid w:val="0099716A"/>
    <w:rsid w:val="009971FE"/>
    <w:rsid w:val="009B0D44"/>
    <w:rsid w:val="009B2930"/>
    <w:rsid w:val="009B5913"/>
    <w:rsid w:val="009B7308"/>
    <w:rsid w:val="009C169E"/>
    <w:rsid w:val="009C185E"/>
    <w:rsid w:val="009C69D0"/>
    <w:rsid w:val="009C7D7D"/>
    <w:rsid w:val="009D416F"/>
    <w:rsid w:val="009D4BAC"/>
    <w:rsid w:val="009D4FFD"/>
    <w:rsid w:val="009D5787"/>
    <w:rsid w:val="009D58CD"/>
    <w:rsid w:val="009D7806"/>
    <w:rsid w:val="009D7C39"/>
    <w:rsid w:val="009D7E66"/>
    <w:rsid w:val="009E0672"/>
    <w:rsid w:val="009E297B"/>
    <w:rsid w:val="009E4BBC"/>
    <w:rsid w:val="009E536C"/>
    <w:rsid w:val="009F06E8"/>
    <w:rsid w:val="009F1A14"/>
    <w:rsid w:val="009F1A25"/>
    <w:rsid w:val="009F68AD"/>
    <w:rsid w:val="009F7E6E"/>
    <w:rsid w:val="00A014A4"/>
    <w:rsid w:val="00A01EB0"/>
    <w:rsid w:val="00A045E5"/>
    <w:rsid w:val="00A05E23"/>
    <w:rsid w:val="00A0748D"/>
    <w:rsid w:val="00A13207"/>
    <w:rsid w:val="00A16B3D"/>
    <w:rsid w:val="00A226A8"/>
    <w:rsid w:val="00A2361D"/>
    <w:rsid w:val="00A2496C"/>
    <w:rsid w:val="00A24CF1"/>
    <w:rsid w:val="00A251A9"/>
    <w:rsid w:val="00A252F1"/>
    <w:rsid w:val="00A33697"/>
    <w:rsid w:val="00A366F9"/>
    <w:rsid w:val="00A375A6"/>
    <w:rsid w:val="00A3771D"/>
    <w:rsid w:val="00A4107E"/>
    <w:rsid w:val="00A42906"/>
    <w:rsid w:val="00A42BB8"/>
    <w:rsid w:val="00A42C00"/>
    <w:rsid w:val="00A437F4"/>
    <w:rsid w:val="00A43A94"/>
    <w:rsid w:val="00A43CB4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9A5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4209"/>
    <w:rsid w:val="00AC734B"/>
    <w:rsid w:val="00AC7562"/>
    <w:rsid w:val="00AC794D"/>
    <w:rsid w:val="00AD048A"/>
    <w:rsid w:val="00AD0C57"/>
    <w:rsid w:val="00AD404E"/>
    <w:rsid w:val="00AD5452"/>
    <w:rsid w:val="00AD60C7"/>
    <w:rsid w:val="00AD62B5"/>
    <w:rsid w:val="00AD66B4"/>
    <w:rsid w:val="00AD7E79"/>
    <w:rsid w:val="00AE02A1"/>
    <w:rsid w:val="00AE07FE"/>
    <w:rsid w:val="00AE2285"/>
    <w:rsid w:val="00AE45DC"/>
    <w:rsid w:val="00AF0982"/>
    <w:rsid w:val="00AF1770"/>
    <w:rsid w:val="00AF2CD9"/>
    <w:rsid w:val="00AF3804"/>
    <w:rsid w:val="00AF4390"/>
    <w:rsid w:val="00AF459B"/>
    <w:rsid w:val="00AF4CCE"/>
    <w:rsid w:val="00AF6AB0"/>
    <w:rsid w:val="00B00B94"/>
    <w:rsid w:val="00B00FAB"/>
    <w:rsid w:val="00B02273"/>
    <w:rsid w:val="00B0391B"/>
    <w:rsid w:val="00B04FCF"/>
    <w:rsid w:val="00B0575C"/>
    <w:rsid w:val="00B06607"/>
    <w:rsid w:val="00B171D8"/>
    <w:rsid w:val="00B200FF"/>
    <w:rsid w:val="00B20824"/>
    <w:rsid w:val="00B21C31"/>
    <w:rsid w:val="00B226C0"/>
    <w:rsid w:val="00B22AC5"/>
    <w:rsid w:val="00B24E60"/>
    <w:rsid w:val="00B25A86"/>
    <w:rsid w:val="00B359E8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91F1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1CEB"/>
    <w:rsid w:val="00C12D82"/>
    <w:rsid w:val="00C13C94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0FDF"/>
    <w:rsid w:val="00C51BC2"/>
    <w:rsid w:val="00C52150"/>
    <w:rsid w:val="00C52205"/>
    <w:rsid w:val="00C556DE"/>
    <w:rsid w:val="00C6089A"/>
    <w:rsid w:val="00C61CC7"/>
    <w:rsid w:val="00C63E83"/>
    <w:rsid w:val="00C6620E"/>
    <w:rsid w:val="00C70C96"/>
    <w:rsid w:val="00C71287"/>
    <w:rsid w:val="00C72CB7"/>
    <w:rsid w:val="00C738E2"/>
    <w:rsid w:val="00C74422"/>
    <w:rsid w:val="00C76143"/>
    <w:rsid w:val="00C76B8D"/>
    <w:rsid w:val="00C80D1F"/>
    <w:rsid w:val="00C83E64"/>
    <w:rsid w:val="00C84DDC"/>
    <w:rsid w:val="00C86BC3"/>
    <w:rsid w:val="00C911C6"/>
    <w:rsid w:val="00C93312"/>
    <w:rsid w:val="00C96F4E"/>
    <w:rsid w:val="00CA030F"/>
    <w:rsid w:val="00CA3603"/>
    <w:rsid w:val="00CA41EC"/>
    <w:rsid w:val="00CA4EF5"/>
    <w:rsid w:val="00CA571E"/>
    <w:rsid w:val="00CA6DE8"/>
    <w:rsid w:val="00CB1BC9"/>
    <w:rsid w:val="00CB29E9"/>
    <w:rsid w:val="00CB5CA9"/>
    <w:rsid w:val="00CC0101"/>
    <w:rsid w:val="00CC0887"/>
    <w:rsid w:val="00CC5EAA"/>
    <w:rsid w:val="00CC6D2F"/>
    <w:rsid w:val="00CC7FAE"/>
    <w:rsid w:val="00CD2A21"/>
    <w:rsid w:val="00CD2C7A"/>
    <w:rsid w:val="00CD3295"/>
    <w:rsid w:val="00CD38DA"/>
    <w:rsid w:val="00CD56F6"/>
    <w:rsid w:val="00CD6862"/>
    <w:rsid w:val="00CD6EA6"/>
    <w:rsid w:val="00CD795A"/>
    <w:rsid w:val="00CE0428"/>
    <w:rsid w:val="00CE1966"/>
    <w:rsid w:val="00CE2F2F"/>
    <w:rsid w:val="00CE3955"/>
    <w:rsid w:val="00CE5513"/>
    <w:rsid w:val="00CE6AB6"/>
    <w:rsid w:val="00CF0FF7"/>
    <w:rsid w:val="00CF1442"/>
    <w:rsid w:val="00CF3BF0"/>
    <w:rsid w:val="00CF40F4"/>
    <w:rsid w:val="00CF4BED"/>
    <w:rsid w:val="00CF53AA"/>
    <w:rsid w:val="00CF5DE5"/>
    <w:rsid w:val="00D006C9"/>
    <w:rsid w:val="00D01275"/>
    <w:rsid w:val="00D0260A"/>
    <w:rsid w:val="00D02BA1"/>
    <w:rsid w:val="00D02F72"/>
    <w:rsid w:val="00D05A24"/>
    <w:rsid w:val="00D0675F"/>
    <w:rsid w:val="00D14D4B"/>
    <w:rsid w:val="00D16E18"/>
    <w:rsid w:val="00D173A4"/>
    <w:rsid w:val="00D17405"/>
    <w:rsid w:val="00D17B4A"/>
    <w:rsid w:val="00D23EE3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6821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75D46"/>
    <w:rsid w:val="00D7692E"/>
    <w:rsid w:val="00D81B26"/>
    <w:rsid w:val="00D821D6"/>
    <w:rsid w:val="00D82C7A"/>
    <w:rsid w:val="00D83CDE"/>
    <w:rsid w:val="00D84BCC"/>
    <w:rsid w:val="00D8727E"/>
    <w:rsid w:val="00D8773F"/>
    <w:rsid w:val="00D90120"/>
    <w:rsid w:val="00D965D8"/>
    <w:rsid w:val="00D966CA"/>
    <w:rsid w:val="00D97D34"/>
    <w:rsid w:val="00DA0D1E"/>
    <w:rsid w:val="00DA2ACD"/>
    <w:rsid w:val="00DA2D61"/>
    <w:rsid w:val="00DA44BE"/>
    <w:rsid w:val="00DA4896"/>
    <w:rsid w:val="00DA55D5"/>
    <w:rsid w:val="00DA6425"/>
    <w:rsid w:val="00DB09C4"/>
    <w:rsid w:val="00DB12AA"/>
    <w:rsid w:val="00DB1B14"/>
    <w:rsid w:val="00DB2D6A"/>
    <w:rsid w:val="00DB4F74"/>
    <w:rsid w:val="00DB56F9"/>
    <w:rsid w:val="00DC12E3"/>
    <w:rsid w:val="00DC2E62"/>
    <w:rsid w:val="00DC333C"/>
    <w:rsid w:val="00DC3F91"/>
    <w:rsid w:val="00DC478F"/>
    <w:rsid w:val="00DD0560"/>
    <w:rsid w:val="00DD26B4"/>
    <w:rsid w:val="00DD6514"/>
    <w:rsid w:val="00DE157A"/>
    <w:rsid w:val="00DE2663"/>
    <w:rsid w:val="00DE3820"/>
    <w:rsid w:val="00DF0474"/>
    <w:rsid w:val="00DF6119"/>
    <w:rsid w:val="00E017E5"/>
    <w:rsid w:val="00E02D98"/>
    <w:rsid w:val="00E0526C"/>
    <w:rsid w:val="00E056FE"/>
    <w:rsid w:val="00E06AE3"/>
    <w:rsid w:val="00E06EC0"/>
    <w:rsid w:val="00E10CC0"/>
    <w:rsid w:val="00E13097"/>
    <w:rsid w:val="00E13A7C"/>
    <w:rsid w:val="00E140F8"/>
    <w:rsid w:val="00E15447"/>
    <w:rsid w:val="00E1604C"/>
    <w:rsid w:val="00E21393"/>
    <w:rsid w:val="00E219D6"/>
    <w:rsid w:val="00E24862"/>
    <w:rsid w:val="00E2495D"/>
    <w:rsid w:val="00E25C18"/>
    <w:rsid w:val="00E275E4"/>
    <w:rsid w:val="00E31681"/>
    <w:rsid w:val="00E34D26"/>
    <w:rsid w:val="00E3506C"/>
    <w:rsid w:val="00E3545A"/>
    <w:rsid w:val="00E41257"/>
    <w:rsid w:val="00E41C65"/>
    <w:rsid w:val="00E42A0A"/>
    <w:rsid w:val="00E4348A"/>
    <w:rsid w:val="00E46A38"/>
    <w:rsid w:val="00E46E10"/>
    <w:rsid w:val="00E4755A"/>
    <w:rsid w:val="00E5090D"/>
    <w:rsid w:val="00E532AD"/>
    <w:rsid w:val="00E53585"/>
    <w:rsid w:val="00E53861"/>
    <w:rsid w:val="00E62333"/>
    <w:rsid w:val="00E6539C"/>
    <w:rsid w:val="00E65BAE"/>
    <w:rsid w:val="00E661F7"/>
    <w:rsid w:val="00E6754F"/>
    <w:rsid w:val="00E67B56"/>
    <w:rsid w:val="00E72DDF"/>
    <w:rsid w:val="00E73D71"/>
    <w:rsid w:val="00E744A3"/>
    <w:rsid w:val="00E74B8D"/>
    <w:rsid w:val="00E7562F"/>
    <w:rsid w:val="00E801E5"/>
    <w:rsid w:val="00E81B70"/>
    <w:rsid w:val="00E84BE2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B4CD6"/>
    <w:rsid w:val="00EB60CF"/>
    <w:rsid w:val="00EC3FA2"/>
    <w:rsid w:val="00EC4376"/>
    <w:rsid w:val="00ED06E1"/>
    <w:rsid w:val="00ED168B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758"/>
    <w:rsid w:val="00EF4A7D"/>
    <w:rsid w:val="00EF4DC0"/>
    <w:rsid w:val="00EF5736"/>
    <w:rsid w:val="00F042D6"/>
    <w:rsid w:val="00F06D84"/>
    <w:rsid w:val="00F1155B"/>
    <w:rsid w:val="00F11E14"/>
    <w:rsid w:val="00F11E19"/>
    <w:rsid w:val="00F1217C"/>
    <w:rsid w:val="00F15482"/>
    <w:rsid w:val="00F1793A"/>
    <w:rsid w:val="00F17F99"/>
    <w:rsid w:val="00F24DBB"/>
    <w:rsid w:val="00F25DE1"/>
    <w:rsid w:val="00F25E38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42479"/>
    <w:rsid w:val="00F523A0"/>
    <w:rsid w:val="00F52617"/>
    <w:rsid w:val="00F53050"/>
    <w:rsid w:val="00F539B2"/>
    <w:rsid w:val="00F57C22"/>
    <w:rsid w:val="00F57F18"/>
    <w:rsid w:val="00F626E0"/>
    <w:rsid w:val="00F64CF7"/>
    <w:rsid w:val="00F65073"/>
    <w:rsid w:val="00F6566C"/>
    <w:rsid w:val="00F66DDC"/>
    <w:rsid w:val="00F67441"/>
    <w:rsid w:val="00F7096A"/>
    <w:rsid w:val="00F7101B"/>
    <w:rsid w:val="00F71713"/>
    <w:rsid w:val="00F736A3"/>
    <w:rsid w:val="00F771D8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217"/>
    <w:rsid w:val="00F96E60"/>
    <w:rsid w:val="00FA0161"/>
    <w:rsid w:val="00FA124C"/>
    <w:rsid w:val="00FA139D"/>
    <w:rsid w:val="00FA5D49"/>
    <w:rsid w:val="00FA7708"/>
    <w:rsid w:val="00FB72AB"/>
    <w:rsid w:val="00FC0C0D"/>
    <w:rsid w:val="00FC4202"/>
    <w:rsid w:val="00FC4817"/>
    <w:rsid w:val="00FC6679"/>
    <w:rsid w:val="00FC7CF2"/>
    <w:rsid w:val="00FD1D3C"/>
    <w:rsid w:val="00FD2E17"/>
    <w:rsid w:val="00FD64B9"/>
    <w:rsid w:val="00FE2690"/>
    <w:rsid w:val="00FE4BF9"/>
    <w:rsid w:val="00FE517D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4B69-73F7-4E5F-B480-819F1B52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Borowiecka</dc:creator>
  <cp:keywords/>
  <dc:description/>
  <cp:lastModifiedBy>Good One</cp:lastModifiedBy>
  <cp:revision>22</cp:revision>
  <dcterms:created xsi:type="dcterms:W3CDTF">2026-03-10T15:26:00Z</dcterms:created>
  <dcterms:modified xsi:type="dcterms:W3CDTF">2026-03-16T08:20:00Z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