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0936" w14:textId="7A458205" w:rsidR="00D625E1" w:rsidRPr="00D625E1" w:rsidRDefault="00D625E1" w:rsidP="00D625E1">
      <w:pPr>
        <w:spacing w:before="240" w:after="0"/>
        <w:jc w:val="center"/>
        <w:rPr>
          <w:b/>
          <w:bCs/>
          <w:sz w:val="72"/>
          <w:szCs w:val="72"/>
        </w:rPr>
      </w:pP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18EA37B2" wp14:editId="6C675FDC">
            <wp:simplePos x="0" y="0"/>
            <wp:positionH relativeFrom="margin">
              <wp:align>center</wp:align>
            </wp:positionH>
            <wp:positionV relativeFrom="paragraph">
              <wp:posOffset>454</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D8EAC067-07DC-4F1C-83E1-7993F66D5E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76AD">
        <w:rPr>
          <w:b/>
          <w:bCs/>
          <w:sz w:val="72"/>
          <w:szCs w:val="72"/>
        </w:rPr>
        <w:t xml:space="preserve">BENGALA </w:t>
      </w:r>
    </w:p>
    <w:p w14:paraId="3A10521D" w14:textId="7E16C830" w:rsidR="00D625E1" w:rsidRPr="00D625E1" w:rsidRDefault="6F752AD3" w:rsidP="00D625E1">
      <w:pPr>
        <w:spacing w:after="120"/>
        <w:jc w:val="center"/>
        <w:rPr>
          <w:b/>
          <w:bCs/>
          <w:sz w:val="40"/>
          <w:szCs w:val="40"/>
        </w:rPr>
      </w:pPr>
      <w:r w:rsidRPr="5CD20C5D">
        <w:rPr>
          <w:b/>
          <w:bCs/>
          <w:sz w:val="40"/>
          <w:szCs w:val="40"/>
        </w:rPr>
        <w:t>SUMA UNA SEGUNDA PRESENTACIÓN</w:t>
      </w:r>
      <w:r w:rsidR="00D625E1" w:rsidRPr="5CD20C5D">
        <w:rPr>
          <w:b/>
          <w:bCs/>
          <w:sz w:val="40"/>
          <w:szCs w:val="40"/>
        </w:rPr>
        <w:t xml:space="preserve"> EN EL LUNARIO</w:t>
      </w:r>
    </w:p>
    <w:p w14:paraId="1F2B0704" w14:textId="38AAC420" w:rsidR="00D625E1" w:rsidRPr="00D625E1" w:rsidRDefault="00D625E1" w:rsidP="00D625E1">
      <w:pPr>
        <w:spacing w:before="240" w:after="120"/>
        <w:jc w:val="center"/>
        <w:rPr>
          <w:sz w:val="26"/>
          <w:szCs w:val="26"/>
        </w:rPr>
      </w:pPr>
      <w:r w:rsidRPr="5CD20C5D">
        <w:rPr>
          <w:sz w:val="26"/>
          <w:szCs w:val="26"/>
        </w:rPr>
        <w:t xml:space="preserve">EL FESTEJO POR LOS 20 AÑOS DE SU DISCO HOMÓNIMO SE EXTIENDE TRAS EL </w:t>
      </w:r>
      <w:r w:rsidR="51A9A94E" w:rsidRPr="5CD20C5D">
        <w:rPr>
          <w:sz w:val="26"/>
          <w:szCs w:val="26"/>
        </w:rPr>
        <w:t xml:space="preserve">ROTUNDO </w:t>
      </w:r>
      <w:r w:rsidRPr="5CD20C5D">
        <w:rPr>
          <w:sz w:val="26"/>
          <w:szCs w:val="26"/>
        </w:rPr>
        <w:t>ÉXITO</w:t>
      </w:r>
    </w:p>
    <w:p w14:paraId="46381A44" w14:textId="77777777" w:rsidR="00D625E1" w:rsidRDefault="00D625E1" w:rsidP="00D625E1">
      <w:pPr>
        <w:spacing w:before="240" w:after="0"/>
        <w:jc w:val="center"/>
        <w:rPr>
          <w:b/>
          <w:bCs/>
          <w:sz w:val="26"/>
          <w:szCs w:val="26"/>
        </w:rPr>
      </w:pPr>
      <w:r w:rsidRPr="00D625E1">
        <w:rPr>
          <w:b/>
          <w:bCs/>
          <w:sz w:val="26"/>
          <w:szCs w:val="26"/>
        </w:rPr>
        <w:t xml:space="preserve">NUEVA FECHA: </w:t>
      </w:r>
    </w:p>
    <w:p w14:paraId="3B521076" w14:textId="77777777" w:rsidR="00D625E1" w:rsidRDefault="00D625E1" w:rsidP="00D625E1">
      <w:pPr>
        <w:spacing w:after="120"/>
        <w:jc w:val="center"/>
        <w:rPr>
          <w:sz w:val="26"/>
          <w:szCs w:val="26"/>
        </w:rPr>
      </w:pPr>
      <w:r w:rsidRPr="00D625E1">
        <w:rPr>
          <w:b/>
          <w:bCs/>
          <w:sz w:val="26"/>
          <w:szCs w:val="26"/>
        </w:rPr>
        <w:t>18 DE SEPTIEMBRE – LUNARIO DEL AUDITORIO NACIONAL</w:t>
      </w:r>
      <w:r w:rsidRPr="00D625E1">
        <w:rPr>
          <w:sz w:val="26"/>
          <w:szCs w:val="26"/>
        </w:rPr>
        <w:t xml:space="preserve"> </w:t>
      </w:r>
    </w:p>
    <w:p w14:paraId="50B8EE2F" w14:textId="24614304" w:rsidR="00D625E1" w:rsidRPr="00D625E1" w:rsidRDefault="00D625E1" w:rsidP="00D625E1">
      <w:pPr>
        <w:spacing w:after="120"/>
        <w:jc w:val="center"/>
        <w:rPr>
          <w:b/>
          <w:bCs/>
          <w:sz w:val="26"/>
          <w:szCs w:val="26"/>
        </w:rPr>
      </w:pPr>
      <w:r w:rsidRPr="00D625E1">
        <w:rPr>
          <w:b/>
          <w:bCs/>
          <w:sz w:val="26"/>
          <w:szCs w:val="26"/>
        </w:rPr>
        <w:t>SEGUNDA</w:t>
      </w:r>
      <w:r>
        <w:rPr>
          <w:b/>
          <w:bCs/>
          <w:sz w:val="26"/>
          <w:szCs w:val="26"/>
        </w:rPr>
        <w:t xml:space="preserve"> </w:t>
      </w:r>
      <w:r w:rsidRPr="00D625E1">
        <w:rPr>
          <w:b/>
          <w:bCs/>
          <w:sz w:val="26"/>
          <w:szCs w:val="26"/>
        </w:rPr>
        <w:t xml:space="preserve">FECHA: 19 DE SEPTIEMBRE </w:t>
      </w:r>
      <w:r>
        <w:rPr>
          <w:b/>
          <w:bCs/>
          <w:sz w:val="26"/>
          <w:szCs w:val="26"/>
        </w:rPr>
        <w:t xml:space="preserve">- </w:t>
      </w:r>
      <w:r w:rsidRPr="00D625E1">
        <w:rPr>
          <w:b/>
          <w:bCs/>
          <w:sz w:val="26"/>
          <w:szCs w:val="26"/>
        </w:rPr>
        <w:t>SOLD OUT</w:t>
      </w:r>
    </w:p>
    <w:p w14:paraId="619650B9" w14:textId="726F98C4" w:rsidR="00D625E1" w:rsidRPr="00D625E1" w:rsidRDefault="00D625E1" w:rsidP="00D625E1">
      <w:pPr>
        <w:spacing w:before="240" w:after="120"/>
        <w:jc w:val="center"/>
        <w:rPr>
          <w:sz w:val="26"/>
          <w:szCs w:val="26"/>
        </w:rPr>
      </w:pPr>
      <w:r w:rsidRPr="00D625E1">
        <w:rPr>
          <w:b/>
          <w:bCs/>
          <w:sz w:val="26"/>
          <w:szCs w:val="26"/>
        </w:rPr>
        <w:t xml:space="preserve">Preventa Banamex para la nueva fecha: </w:t>
      </w:r>
      <w:r>
        <w:rPr>
          <w:b/>
          <w:bCs/>
          <w:sz w:val="26"/>
          <w:szCs w:val="26"/>
        </w:rPr>
        <w:t>17 de marzo</w:t>
      </w:r>
      <w:r w:rsidRPr="00D625E1">
        <w:rPr>
          <w:b/>
          <w:bCs/>
          <w:sz w:val="26"/>
          <w:szCs w:val="26"/>
        </w:rPr>
        <w:t>, 11:00 a.m.</w:t>
      </w:r>
    </w:p>
    <w:p w14:paraId="42898B81" w14:textId="58F112AE" w:rsidR="00D625E1" w:rsidRDefault="00D625E1" w:rsidP="00D625E1">
      <w:pPr>
        <w:spacing w:before="240" w:after="120"/>
        <w:jc w:val="both"/>
        <w:rPr>
          <w:sz w:val="26"/>
          <w:szCs w:val="26"/>
        </w:rPr>
      </w:pPr>
      <w:r w:rsidRPr="5CD20C5D">
        <w:rPr>
          <w:sz w:val="26"/>
          <w:szCs w:val="26"/>
        </w:rPr>
        <w:t xml:space="preserve">Han pasado </w:t>
      </w:r>
      <w:r w:rsidR="52B05F7E" w:rsidRPr="5CD20C5D">
        <w:rPr>
          <w:sz w:val="26"/>
          <w:szCs w:val="26"/>
        </w:rPr>
        <w:t>dos décadas</w:t>
      </w:r>
      <w:r w:rsidRPr="5CD20C5D">
        <w:rPr>
          <w:sz w:val="26"/>
          <w:szCs w:val="26"/>
        </w:rPr>
        <w:t xml:space="preserve"> desde que el panorama del rock en México se vio sacudido por los sonidos trepidantes de </w:t>
      </w:r>
      <w:r w:rsidRPr="5CD20C5D">
        <w:rPr>
          <w:b/>
          <w:bCs/>
          <w:sz w:val="26"/>
          <w:szCs w:val="26"/>
        </w:rPr>
        <w:t>Bengala</w:t>
      </w:r>
      <w:r w:rsidRPr="5CD20C5D">
        <w:rPr>
          <w:sz w:val="26"/>
          <w:szCs w:val="26"/>
        </w:rPr>
        <w:t xml:space="preserve">. Hoy, ante la respuesta inmediata de sus seguidores y para asegurar que nadie se quede fuera de este legado, la agrupación anuncia una </w:t>
      </w:r>
      <w:r w:rsidRPr="5CD20C5D">
        <w:rPr>
          <w:b/>
          <w:bCs/>
          <w:sz w:val="26"/>
          <w:szCs w:val="26"/>
        </w:rPr>
        <w:t>nueva fecha el próximo 18 de septiembre</w:t>
      </w:r>
      <w:r w:rsidRPr="5CD20C5D">
        <w:rPr>
          <w:sz w:val="26"/>
          <w:szCs w:val="26"/>
        </w:rPr>
        <w:t xml:space="preserve"> en el </w:t>
      </w:r>
      <w:r w:rsidRPr="5CD20C5D">
        <w:rPr>
          <w:b/>
          <w:bCs/>
          <w:sz w:val="26"/>
          <w:szCs w:val="26"/>
        </w:rPr>
        <w:t>Lunario del Auditorio Nacional.</w:t>
      </w:r>
      <w:r w:rsidRPr="5CD20C5D">
        <w:rPr>
          <w:sz w:val="26"/>
          <w:szCs w:val="26"/>
        </w:rPr>
        <w:t xml:space="preserve"> Este reencuentro especial promete ser un viaje al corazón de las canciones que definieron el sonido alternativo de los 2000, celebrando dos décadas de historia con la energía que siempre los ha caracterizado.</w:t>
      </w:r>
    </w:p>
    <w:p w14:paraId="215A4DAC" w14:textId="77777777" w:rsidR="00D625E1" w:rsidRPr="00921B1C" w:rsidRDefault="00D625E1" w:rsidP="00D625E1">
      <w:pPr>
        <w:spacing w:before="240" w:after="120"/>
        <w:jc w:val="right"/>
        <w:rPr>
          <w:b/>
          <w:bCs/>
          <w:sz w:val="26"/>
          <w:szCs w:val="26"/>
        </w:rPr>
      </w:pPr>
      <w:r w:rsidRPr="00921B1C">
        <w:rPr>
          <w:b/>
          <w:bCs/>
          <w:sz w:val="26"/>
          <w:szCs w:val="26"/>
        </w:rPr>
        <w:t>Dos décadas de trayectoria y reconocimiento</w:t>
      </w:r>
    </w:p>
    <w:p w14:paraId="20627E0D" w14:textId="77777777" w:rsidR="00D625E1" w:rsidRPr="00921B1C" w:rsidRDefault="00D625E1" w:rsidP="00D625E1">
      <w:pPr>
        <w:spacing w:before="240" w:after="120"/>
        <w:jc w:val="both"/>
        <w:rPr>
          <w:sz w:val="26"/>
          <w:szCs w:val="26"/>
        </w:rPr>
      </w:pPr>
      <w:r w:rsidRPr="00921B1C">
        <w:rPr>
          <w:sz w:val="26"/>
          <w:szCs w:val="26"/>
        </w:rPr>
        <w:t xml:space="preserve">Formada en la Ciudad de México en 2003, </w:t>
      </w:r>
      <w:r w:rsidRPr="00921B1C">
        <w:rPr>
          <w:b/>
          <w:bCs/>
          <w:sz w:val="26"/>
          <w:szCs w:val="26"/>
        </w:rPr>
        <w:t>Bengala</w:t>
      </w:r>
      <w:r w:rsidRPr="00921B1C">
        <w:rPr>
          <w:sz w:val="26"/>
          <w:szCs w:val="26"/>
        </w:rPr>
        <w:t xml:space="preserve"> se consolidó rápidamente como una de las propuestas más sólidas del rock alternativo. Su calidad musical les valió una nominación al </w:t>
      </w:r>
      <w:r w:rsidRPr="00921B1C">
        <w:rPr>
          <w:b/>
          <w:bCs/>
          <w:sz w:val="26"/>
          <w:szCs w:val="26"/>
        </w:rPr>
        <w:t>Latin GRAMMY® en 2007</w:t>
      </w:r>
      <w:r w:rsidRPr="00921B1C">
        <w:rPr>
          <w:sz w:val="26"/>
          <w:szCs w:val="26"/>
        </w:rPr>
        <w:t xml:space="preserve"> en la categoría de </w:t>
      </w:r>
      <w:r w:rsidRPr="00921B1C">
        <w:rPr>
          <w:i/>
          <w:iCs/>
          <w:sz w:val="26"/>
          <w:szCs w:val="26"/>
        </w:rPr>
        <w:t>Mejor Álbum de Rock/Alternativo</w:t>
      </w:r>
      <w:r w:rsidRPr="00921B1C">
        <w:rPr>
          <w:sz w:val="26"/>
          <w:szCs w:val="26"/>
        </w:rPr>
        <w:t xml:space="preserve">, un hito que los proyectó a compartir escenarios con gigantes internacionales como </w:t>
      </w:r>
      <w:r w:rsidRPr="00921B1C">
        <w:rPr>
          <w:b/>
          <w:bCs/>
          <w:sz w:val="26"/>
          <w:szCs w:val="26"/>
        </w:rPr>
        <w:t xml:space="preserve">The </w:t>
      </w:r>
      <w:proofErr w:type="spellStart"/>
      <w:r w:rsidRPr="00921B1C">
        <w:rPr>
          <w:b/>
          <w:bCs/>
          <w:sz w:val="26"/>
          <w:szCs w:val="26"/>
        </w:rPr>
        <w:t>Killers</w:t>
      </w:r>
      <w:proofErr w:type="spellEnd"/>
      <w:r w:rsidRPr="00921B1C">
        <w:rPr>
          <w:sz w:val="26"/>
          <w:szCs w:val="26"/>
        </w:rPr>
        <w:t xml:space="preserve"> y </w:t>
      </w:r>
      <w:r w:rsidRPr="00921B1C">
        <w:rPr>
          <w:b/>
          <w:bCs/>
          <w:sz w:val="26"/>
          <w:szCs w:val="26"/>
        </w:rPr>
        <w:t>Franz Ferdinand</w:t>
      </w:r>
      <w:r w:rsidRPr="00921B1C">
        <w:rPr>
          <w:sz w:val="26"/>
          <w:szCs w:val="26"/>
        </w:rPr>
        <w:t xml:space="preserve">, además de referentes nacionales como </w:t>
      </w:r>
      <w:r w:rsidRPr="00921B1C">
        <w:rPr>
          <w:b/>
          <w:bCs/>
          <w:sz w:val="26"/>
          <w:szCs w:val="26"/>
        </w:rPr>
        <w:t>Molotov</w:t>
      </w:r>
      <w:r w:rsidRPr="00921B1C">
        <w:rPr>
          <w:sz w:val="26"/>
          <w:szCs w:val="26"/>
        </w:rPr>
        <w:t>.</w:t>
      </w:r>
    </w:p>
    <w:p w14:paraId="7D8A85E5" w14:textId="77777777" w:rsidR="00D625E1" w:rsidRDefault="00D625E1" w:rsidP="00D625E1">
      <w:pPr>
        <w:spacing w:before="240" w:after="120"/>
        <w:jc w:val="both"/>
        <w:rPr>
          <w:sz w:val="26"/>
          <w:szCs w:val="26"/>
        </w:rPr>
      </w:pPr>
      <w:r w:rsidRPr="00921B1C">
        <w:rPr>
          <w:sz w:val="26"/>
          <w:szCs w:val="26"/>
        </w:rPr>
        <w:lastRenderedPageBreak/>
        <w:t>A lo largo de su carrera, han construido un repertorio de himnos que han resistido la prueba del tiempo, incluyendo:</w:t>
      </w:r>
      <w:r>
        <w:rPr>
          <w:sz w:val="26"/>
          <w:szCs w:val="26"/>
        </w:rPr>
        <w:t xml:space="preserve"> </w:t>
      </w:r>
      <w:r>
        <w:rPr>
          <w:b/>
          <w:bCs/>
          <w:sz w:val="26"/>
          <w:szCs w:val="26"/>
        </w:rPr>
        <w:t>“</w:t>
      </w:r>
      <w:r w:rsidRPr="00921B1C">
        <w:rPr>
          <w:b/>
          <w:bCs/>
          <w:sz w:val="26"/>
          <w:szCs w:val="26"/>
        </w:rPr>
        <w:t>Carretera</w:t>
      </w:r>
      <w:r>
        <w:rPr>
          <w:b/>
          <w:bCs/>
          <w:sz w:val="26"/>
          <w:szCs w:val="26"/>
        </w:rPr>
        <w:t>”, “</w:t>
      </w:r>
      <w:r w:rsidRPr="00921B1C">
        <w:rPr>
          <w:b/>
          <w:bCs/>
          <w:sz w:val="26"/>
          <w:szCs w:val="26"/>
        </w:rPr>
        <w:t>Miente</w:t>
      </w:r>
      <w:r>
        <w:rPr>
          <w:b/>
          <w:bCs/>
          <w:sz w:val="26"/>
          <w:szCs w:val="26"/>
        </w:rPr>
        <w:t>”, “</w:t>
      </w:r>
      <w:r w:rsidRPr="00921B1C">
        <w:rPr>
          <w:b/>
          <w:bCs/>
          <w:sz w:val="26"/>
          <w:szCs w:val="26"/>
        </w:rPr>
        <w:t>Mal Incurable</w:t>
      </w:r>
      <w:r>
        <w:rPr>
          <w:b/>
          <w:bCs/>
          <w:sz w:val="26"/>
          <w:szCs w:val="26"/>
        </w:rPr>
        <w:t xml:space="preserve">”, </w:t>
      </w:r>
      <w:r>
        <w:rPr>
          <w:sz w:val="26"/>
          <w:szCs w:val="26"/>
        </w:rPr>
        <w:t>“</w:t>
      </w:r>
      <w:r w:rsidRPr="00921B1C">
        <w:rPr>
          <w:b/>
          <w:bCs/>
          <w:sz w:val="26"/>
          <w:szCs w:val="26"/>
        </w:rPr>
        <w:t>Cosas Infinitas</w:t>
      </w:r>
      <w:r>
        <w:rPr>
          <w:b/>
          <w:bCs/>
          <w:sz w:val="26"/>
          <w:szCs w:val="26"/>
        </w:rPr>
        <w:t>”, “</w:t>
      </w:r>
      <w:r w:rsidRPr="00921B1C">
        <w:rPr>
          <w:b/>
          <w:bCs/>
          <w:sz w:val="26"/>
          <w:szCs w:val="26"/>
        </w:rPr>
        <w:t>Cárcel</w:t>
      </w:r>
      <w:r>
        <w:rPr>
          <w:b/>
          <w:bCs/>
          <w:sz w:val="26"/>
          <w:szCs w:val="26"/>
        </w:rPr>
        <w:t>”</w:t>
      </w:r>
      <w:r>
        <w:rPr>
          <w:sz w:val="26"/>
          <w:szCs w:val="26"/>
        </w:rPr>
        <w:t>, “</w:t>
      </w:r>
      <w:r w:rsidRPr="00921B1C">
        <w:rPr>
          <w:b/>
          <w:bCs/>
          <w:sz w:val="26"/>
          <w:szCs w:val="26"/>
        </w:rPr>
        <w:t>Enloquecer</w:t>
      </w:r>
      <w:r>
        <w:rPr>
          <w:b/>
          <w:bCs/>
          <w:sz w:val="26"/>
          <w:szCs w:val="26"/>
        </w:rPr>
        <w:t xml:space="preserve">”, </w:t>
      </w:r>
      <w:r w:rsidRPr="00F61AC6">
        <w:rPr>
          <w:sz w:val="26"/>
          <w:szCs w:val="26"/>
        </w:rPr>
        <w:t xml:space="preserve">entre otros. </w:t>
      </w:r>
    </w:p>
    <w:p w14:paraId="463FA5D7" w14:textId="77777777" w:rsidR="00D625E1" w:rsidRDefault="00D625E1" w:rsidP="00D625E1">
      <w:pPr>
        <w:spacing w:before="240" w:after="120"/>
        <w:jc w:val="both"/>
        <w:rPr>
          <w:sz w:val="26"/>
          <w:szCs w:val="26"/>
        </w:rPr>
      </w:pPr>
      <w:r w:rsidRPr="48E57EF5">
        <w:rPr>
          <w:sz w:val="26"/>
          <w:szCs w:val="26"/>
        </w:rPr>
        <w:t xml:space="preserve">Tras un periodo de pausa, la banda marcó su regreso oficial el 22 de septiembre de 2018 en el Centro Cultural España, reafirmando su vigencia con el lanzamiento del sencillo </w:t>
      </w:r>
      <w:r w:rsidRPr="48E57EF5">
        <w:rPr>
          <w:b/>
          <w:bCs/>
          <w:sz w:val="26"/>
          <w:szCs w:val="26"/>
        </w:rPr>
        <w:t>“Déjala Ir”</w:t>
      </w:r>
      <w:r w:rsidRPr="48E57EF5">
        <w:rPr>
          <w:sz w:val="26"/>
          <w:szCs w:val="26"/>
        </w:rPr>
        <w:t>. Este nuevo ciclo ha permitido a la agrupación reencontrarse con su esencia mientras continúan explorando nuevas fronteras sonoras, manteniendo viva la llama de una generación que creció con sus letras.</w:t>
      </w:r>
    </w:p>
    <w:p w14:paraId="6BB48603" w14:textId="21C7117F" w:rsidR="00D625E1" w:rsidRPr="00733D31" w:rsidRDefault="00D625E1" w:rsidP="00D625E1">
      <w:pPr>
        <w:spacing w:before="240" w:after="120"/>
        <w:jc w:val="both"/>
        <w:rPr>
          <w:sz w:val="26"/>
          <w:szCs w:val="26"/>
        </w:rPr>
      </w:pPr>
      <w:r w:rsidRPr="48E57EF5">
        <w:rPr>
          <w:sz w:val="26"/>
          <w:szCs w:val="26"/>
        </w:rPr>
        <w:t>¡No pierdas la oportunidad de celebrar veinte años de historia con una de las bandas más emblemáticas del rock alternativo mexicano! Adquiere tus boletos</w:t>
      </w:r>
      <w:r>
        <w:rPr>
          <w:sz w:val="26"/>
          <w:szCs w:val="26"/>
        </w:rPr>
        <w:t xml:space="preserve"> para la nueva fecha</w:t>
      </w:r>
      <w:r w:rsidRPr="48E57EF5">
        <w:rPr>
          <w:sz w:val="26"/>
          <w:szCs w:val="26"/>
        </w:rPr>
        <w:t xml:space="preserve"> en la preventa Banamex el </w:t>
      </w:r>
      <w:r>
        <w:rPr>
          <w:sz w:val="26"/>
          <w:szCs w:val="26"/>
        </w:rPr>
        <w:t>17 de marzo</w:t>
      </w:r>
      <w:r w:rsidRPr="48E57EF5">
        <w:rPr>
          <w:sz w:val="26"/>
          <w:szCs w:val="26"/>
        </w:rPr>
        <w:t xml:space="preserve"> y, un día después, los podrás adquirir en las taquillas del inmueble o a través de </w:t>
      </w:r>
      <w:hyperlink r:id="rId5">
        <w:r w:rsidRPr="48E57EF5">
          <w:rPr>
            <w:rStyle w:val="Hipervnculo"/>
            <w:b/>
            <w:bCs/>
            <w:sz w:val="26"/>
            <w:szCs w:val="26"/>
          </w:rPr>
          <w:t>www.ticketmaster.com.mx</w:t>
        </w:r>
      </w:hyperlink>
      <w:r w:rsidRPr="48E57EF5">
        <w:rPr>
          <w:b/>
          <w:bCs/>
          <w:sz w:val="26"/>
          <w:szCs w:val="26"/>
        </w:rPr>
        <w:t>.</w:t>
      </w:r>
      <w:r w:rsidRPr="48E57EF5">
        <w:rPr>
          <w:sz w:val="26"/>
          <w:szCs w:val="26"/>
        </w:rPr>
        <w:t xml:space="preserve">  </w:t>
      </w:r>
    </w:p>
    <w:p w14:paraId="078622CB" w14:textId="77777777" w:rsidR="00D625E1" w:rsidRDefault="00D625E1" w:rsidP="00D625E1">
      <w:pPr>
        <w:spacing w:before="240" w:after="120"/>
        <w:jc w:val="center"/>
        <w:rPr>
          <w:sz w:val="26"/>
          <w:szCs w:val="26"/>
        </w:rPr>
      </w:pPr>
    </w:p>
    <w:p w14:paraId="3FF18968" w14:textId="77777777" w:rsidR="00D625E1" w:rsidRPr="00537116" w:rsidRDefault="00D625E1" w:rsidP="00D625E1">
      <w:pPr>
        <w:spacing w:before="240" w:after="120"/>
        <w:jc w:val="center"/>
        <w:rPr>
          <w:b/>
          <w:bCs/>
          <w:sz w:val="26"/>
          <w:szCs w:val="26"/>
        </w:rPr>
      </w:pPr>
      <w:r w:rsidRPr="00537116">
        <w:rPr>
          <w:b/>
          <w:bCs/>
          <w:sz w:val="26"/>
          <w:szCs w:val="26"/>
        </w:rPr>
        <w:t>VISITA LAS REDES SOCIALES DE BENGALA</w:t>
      </w:r>
    </w:p>
    <w:p w14:paraId="30313572" w14:textId="14129CE2" w:rsidR="00D625E1" w:rsidRPr="00537116" w:rsidRDefault="00D625E1" w:rsidP="00D625E1">
      <w:pPr>
        <w:spacing w:before="240" w:after="120"/>
        <w:jc w:val="center"/>
        <w:rPr>
          <w:b/>
          <w:bCs/>
          <w:sz w:val="26"/>
          <w:szCs w:val="26"/>
        </w:rPr>
      </w:pPr>
      <w:hyperlink r:id="rId6" w:history="1">
        <w:r w:rsidRPr="00537116">
          <w:rPr>
            <w:rStyle w:val="Hipervnculo"/>
            <w:b/>
            <w:bCs/>
            <w:sz w:val="26"/>
            <w:szCs w:val="26"/>
          </w:rPr>
          <w:t>FACEBOOK</w:t>
        </w:r>
      </w:hyperlink>
      <w:r w:rsidRPr="00537116">
        <w:rPr>
          <w:b/>
          <w:bCs/>
          <w:sz w:val="26"/>
          <w:szCs w:val="26"/>
        </w:rPr>
        <w:t xml:space="preserve"> | </w:t>
      </w:r>
      <w:hyperlink r:id="rId7" w:history="1">
        <w:r w:rsidRPr="00537116">
          <w:rPr>
            <w:rStyle w:val="Hipervnculo"/>
            <w:b/>
            <w:bCs/>
            <w:sz w:val="26"/>
            <w:szCs w:val="26"/>
          </w:rPr>
          <w:t>INSTAGRAM</w:t>
        </w:r>
      </w:hyperlink>
      <w:r w:rsidRPr="00537116">
        <w:rPr>
          <w:b/>
          <w:bCs/>
          <w:sz w:val="26"/>
          <w:szCs w:val="26"/>
        </w:rPr>
        <w:t xml:space="preserve"> | </w:t>
      </w:r>
      <w:hyperlink r:id="rId8" w:history="1">
        <w:r w:rsidRPr="00537116">
          <w:rPr>
            <w:rStyle w:val="Hipervnculo"/>
            <w:b/>
            <w:bCs/>
            <w:sz w:val="26"/>
            <w:szCs w:val="26"/>
          </w:rPr>
          <w:t>YOUTUBE</w:t>
        </w:r>
      </w:hyperlink>
    </w:p>
    <w:p w14:paraId="6ADC2802" w14:textId="77777777" w:rsidR="00D625E1" w:rsidRDefault="00D625E1" w:rsidP="00D625E1">
      <w:pPr>
        <w:spacing w:before="240" w:after="120"/>
        <w:jc w:val="center"/>
        <w:rPr>
          <w:sz w:val="26"/>
          <w:szCs w:val="26"/>
        </w:rPr>
      </w:pPr>
    </w:p>
    <w:p w14:paraId="1AF7CD83" w14:textId="77777777" w:rsidR="00D625E1" w:rsidRPr="004D3689" w:rsidRDefault="00D625E1" w:rsidP="00D625E1">
      <w:pPr>
        <w:jc w:val="center"/>
        <w:rPr>
          <w:sz w:val="26"/>
          <w:szCs w:val="26"/>
        </w:rPr>
      </w:pPr>
      <w:r w:rsidRPr="004D3689">
        <w:rPr>
          <w:sz w:val="26"/>
          <w:szCs w:val="26"/>
        </w:rPr>
        <w:t>Conoce más sobre este y otros conciertos en:</w:t>
      </w:r>
    </w:p>
    <w:p w14:paraId="2F93ECF0" w14:textId="77777777" w:rsidR="00D625E1" w:rsidRPr="004D3689" w:rsidRDefault="00D625E1" w:rsidP="00D625E1">
      <w:pPr>
        <w:spacing w:after="0"/>
        <w:jc w:val="center"/>
        <w:rPr>
          <w:b/>
          <w:bCs/>
          <w:sz w:val="26"/>
          <w:szCs w:val="26"/>
        </w:rPr>
      </w:pPr>
      <w:hyperlink r:id="rId9" w:history="1">
        <w:r w:rsidRPr="004D3689">
          <w:rPr>
            <w:rStyle w:val="Hipervnculo"/>
            <w:b/>
            <w:bCs/>
            <w:sz w:val="26"/>
            <w:szCs w:val="26"/>
          </w:rPr>
          <w:t>www.ocesa.com.mx</w:t>
        </w:r>
      </w:hyperlink>
      <w:r w:rsidRPr="004D3689">
        <w:rPr>
          <w:b/>
          <w:bCs/>
          <w:sz w:val="26"/>
          <w:szCs w:val="26"/>
        </w:rPr>
        <w:t xml:space="preserve"> </w:t>
      </w:r>
    </w:p>
    <w:p w14:paraId="58F57E90" w14:textId="77777777" w:rsidR="00D625E1" w:rsidRPr="004D3689" w:rsidRDefault="00D625E1" w:rsidP="00D625E1">
      <w:pPr>
        <w:spacing w:after="0"/>
        <w:jc w:val="center"/>
        <w:rPr>
          <w:b/>
          <w:bCs/>
          <w:sz w:val="26"/>
          <w:szCs w:val="26"/>
        </w:rPr>
      </w:pPr>
      <w:hyperlink r:id="rId10" w:history="1">
        <w:r w:rsidRPr="004D3689">
          <w:rPr>
            <w:rStyle w:val="Hipervnculo"/>
            <w:b/>
            <w:bCs/>
            <w:sz w:val="26"/>
            <w:szCs w:val="26"/>
          </w:rPr>
          <w:t>www.facebook.com/ocesamx</w:t>
        </w:r>
      </w:hyperlink>
      <w:r w:rsidRPr="004D3689">
        <w:rPr>
          <w:b/>
          <w:bCs/>
          <w:sz w:val="26"/>
          <w:szCs w:val="26"/>
        </w:rPr>
        <w:t xml:space="preserve"> </w:t>
      </w:r>
    </w:p>
    <w:p w14:paraId="5D05502C" w14:textId="77777777" w:rsidR="00D625E1" w:rsidRPr="004D3689" w:rsidRDefault="00D625E1" w:rsidP="00D625E1">
      <w:pPr>
        <w:spacing w:after="0"/>
        <w:jc w:val="center"/>
        <w:rPr>
          <w:b/>
          <w:bCs/>
          <w:sz w:val="26"/>
          <w:szCs w:val="26"/>
        </w:rPr>
      </w:pPr>
      <w:hyperlink r:id="rId11" w:history="1">
        <w:r w:rsidRPr="004D3689">
          <w:rPr>
            <w:rStyle w:val="Hipervnculo"/>
            <w:b/>
            <w:bCs/>
            <w:sz w:val="26"/>
            <w:szCs w:val="26"/>
          </w:rPr>
          <w:t>www.twitter.com/ocesa_total</w:t>
        </w:r>
      </w:hyperlink>
      <w:r w:rsidRPr="004D3689">
        <w:rPr>
          <w:b/>
          <w:bCs/>
          <w:sz w:val="26"/>
          <w:szCs w:val="26"/>
        </w:rPr>
        <w:t xml:space="preserve"> </w:t>
      </w:r>
    </w:p>
    <w:p w14:paraId="2FE19D79" w14:textId="77777777" w:rsidR="00D625E1" w:rsidRPr="004D3689" w:rsidRDefault="00D625E1" w:rsidP="00D625E1">
      <w:pPr>
        <w:spacing w:after="0"/>
        <w:jc w:val="center"/>
        <w:rPr>
          <w:b/>
          <w:bCs/>
          <w:sz w:val="26"/>
          <w:szCs w:val="26"/>
        </w:rPr>
      </w:pPr>
      <w:hyperlink r:id="rId12" w:history="1">
        <w:r w:rsidRPr="004D3689">
          <w:rPr>
            <w:rStyle w:val="Hipervnculo"/>
            <w:b/>
            <w:bCs/>
            <w:sz w:val="26"/>
            <w:szCs w:val="26"/>
          </w:rPr>
          <w:t>www.instagram.com/ocesa</w:t>
        </w:r>
      </w:hyperlink>
      <w:r w:rsidRPr="004D3689">
        <w:rPr>
          <w:b/>
          <w:bCs/>
          <w:sz w:val="26"/>
          <w:szCs w:val="26"/>
        </w:rPr>
        <w:t xml:space="preserve"> </w:t>
      </w:r>
    </w:p>
    <w:p w14:paraId="7D62FD99" w14:textId="77777777" w:rsidR="00D625E1" w:rsidRPr="004D3689" w:rsidRDefault="00D625E1" w:rsidP="00D625E1">
      <w:pPr>
        <w:spacing w:after="0"/>
        <w:jc w:val="center"/>
        <w:rPr>
          <w:b/>
          <w:bCs/>
          <w:sz w:val="26"/>
          <w:szCs w:val="26"/>
        </w:rPr>
      </w:pPr>
      <w:hyperlink r:id="rId13" w:history="1">
        <w:r w:rsidRPr="004D3689">
          <w:rPr>
            <w:rStyle w:val="Hipervnculo"/>
            <w:b/>
            <w:bCs/>
            <w:sz w:val="26"/>
            <w:szCs w:val="26"/>
          </w:rPr>
          <w:t>www.tiktok.com/@ocesamx</w:t>
        </w:r>
      </w:hyperlink>
      <w:r w:rsidRPr="004D3689">
        <w:rPr>
          <w:b/>
          <w:bCs/>
          <w:sz w:val="26"/>
          <w:szCs w:val="26"/>
        </w:rPr>
        <w:t xml:space="preserve"> </w:t>
      </w:r>
    </w:p>
    <w:p w14:paraId="7579B7A3" w14:textId="77777777" w:rsidR="00BA66E7" w:rsidRDefault="00BA66E7"/>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E1"/>
    <w:rsid w:val="00182848"/>
    <w:rsid w:val="008B07FB"/>
    <w:rsid w:val="00BA4219"/>
    <w:rsid w:val="00BA66E7"/>
    <w:rsid w:val="00D625E1"/>
    <w:rsid w:val="00F0217F"/>
    <w:rsid w:val="00FE509D"/>
    <w:rsid w:val="431E2A76"/>
    <w:rsid w:val="51A9A94E"/>
    <w:rsid w:val="52B05F7E"/>
    <w:rsid w:val="5CD20C5D"/>
    <w:rsid w:val="6F752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F7FA"/>
  <w15:chartTrackingRefBased/>
  <w15:docId w15:val="{98CCB5E7-735B-4D82-9D74-4D473052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E1"/>
  </w:style>
  <w:style w:type="paragraph" w:styleId="Ttulo1">
    <w:name w:val="heading 1"/>
    <w:basedOn w:val="Normal"/>
    <w:next w:val="Normal"/>
    <w:link w:val="Ttulo1Car"/>
    <w:uiPriority w:val="9"/>
    <w:qFormat/>
    <w:rsid w:val="00D6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25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25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25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25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25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25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25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5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25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25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25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25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25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25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25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25E1"/>
    <w:rPr>
      <w:rFonts w:eastAsiaTheme="majorEastAsia" w:cstheme="majorBidi"/>
      <w:color w:val="272727" w:themeColor="text1" w:themeTint="D8"/>
    </w:rPr>
  </w:style>
  <w:style w:type="paragraph" w:styleId="Ttulo">
    <w:name w:val="Title"/>
    <w:basedOn w:val="Normal"/>
    <w:next w:val="Normal"/>
    <w:link w:val="TtuloCar"/>
    <w:uiPriority w:val="10"/>
    <w:qFormat/>
    <w:rsid w:val="00D6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25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25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25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25E1"/>
    <w:pPr>
      <w:spacing w:before="160"/>
      <w:jc w:val="center"/>
    </w:pPr>
    <w:rPr>
      <w:i/>
      <w:iCs/>
      <w:color w:val="404040" w:themeColor="text1" w:themeTint="BF"/>
    </w:rPr>
  </w:style>
  <w:style w:type="character" w:customStyle="1" w:styleId="CitaCar">
    <w:name w:val="Cita Car"/>
    <w:basedOn w:val="Fuentedeprrafopredeter"/>
    <w:link w:val="Cita"/>
    <w:uiPriority w:val="29"/>
    <w:rsid w:val="00D625E1"/>
    <w:rPr>
      <w:i/>
      <w:iCs/>
      <w:color w:val="404040" w:themeColor="text1" w:themeTint="BF"/>
    </w:rPr>
  </w:style>
  <w:style w:type="paragraph" w:styleId="Prrafodelista">
    <w:name w:val="List Paragraph"/>
    <w:basedOn w:val="Normal"/>
    <w:uiPriority w:val="34"/>
    <w:qFormat/>
    <w:rsid w:val="00D625E1"/>
    <w:pPr>
      <w:ind w:left="720"/>
      <w:contextualSpacing/>
    </w:pPr>
  </w:style>
  <w:style w:type="character" w:styleId="nfasisintenso">
    <w:name w:val="Intense Emphasis"/>
    <w:basedOn w:val="Fuentedeprrafopredeter"/>
    <w:uiPriority w:val="21"/>
    <w:qFormat/>
    <w:rsid w:val="00D625E1"/>
    <w:rPr>
      <w:i/>
      <w:iCs/>
      <w:color w:val="0F4761" w:themeColor="accent1" w:themeShade="BF"/>
    </w:rPr>
  </w:style>
  <w:style w:type="paragraph" w:styleId="Citadestacada">
    <w:name w:val="Intense Quote"/>
    <w:basedOn w:val="Normal"/>
    <w:next w:val="Normal"/>
    <w:link w:val="CitadestacadaCar"/>
    <w:uiPriority w:val="30"/>
    <w:qFormat/>
    <w:rsid w:val="00D6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25E1"/>
    <w:rPr>
      <w:i/>
      <w:iCs/>
      <w:color w:val="0F4761" w:themeColor="accent1" w:themeShade="BF"/>
    </w:rPr>
  </w:style>
  <w:style w:type="character" w:styleId="Referenciaintensa">
    <w:name w:val="Intense Reference"/>
    <w:basedOn w:val="Fuentedeprrafopredeter"/>
    <w:uiPriority w:val="32"/>
    <w:qFormat/>
    <w:rsid w:val="00D625E1"/>
    <w:rPr>
      <w:b/>
      <w:bCs/>
      <w:smallCaps/>
      <w:color w:val="0F4761" w:themeColor="accent1" w:themeShade="BF"/>
      <w:spacing w:val="5"/>
    </w:rPr>
  </w:style>
  <w:style w:type="character" w:styleId="Hipervnculo">
    <w:name w:val="Hyperlink"/>
    <w:basedOn w:val="Fuentedeprrafopredeter"/>
    <w:uiPriority w:val="99"/>
    <w:unhideWhenUsed/>
    <w:rsid w:val="00D625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S5IZvW8BdrHBtXDee-4aA"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instagram.com/bengalabengala/?hl=es"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salinas\AppData\Local\Microsoft\Windows\INetCache\Content.Outlook\0133RBVJ\facebook.com\bengalaoficial" TargetMode="External"/><Relationship Id="rId11" Type="http://schemas.openxmlformats.org/officeDocument/2006/relationships/hyperlink" Target="http://www.twitter.com/ocesa_total" TargetMode="External"/><Relationship Id="rId5" Type="http://schemas.openxmlformats.org/officeDocument/2006/relationships/hyperlink" Target="http://www.ticketmaster.com.mx"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2475</Characters>
  <Application>Microsoft Office Word</Application>
  <DocSecurity>4</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2026-03-14T01:24:00Z</dcterms:created>
  <dcterms:modified xsi:type="dcterms:W3CDTF">2026-03-14T01:24:00Z</dcterms:modified>
</cp:coreProperties>
</file>