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0470A" w14:textId="77777777" w:rsidR="000002AD" w:rsidRPr="000002AD" w:rsidRDefault="000002AD" w:rsidP="000002AD">
      <w:pPr>
        <w:rPr>
          <w:rFonts w:ascii="Noto Sans" w:hAnsi="Noto Sans" w:cs="Noto Sans"/>
          <w:b/>
          <w:bCs/>
          <w:sz w:val="28"/>
          <w:szCs w:val="28"/>
        </w:rPr>
      </w:pPr>
      <w:r w:rsidRPr="000002AD">
        <w:rPr>
          <w:rFonts w:ascii="Noto Sans" w:hAnsi="Noto Sans" w:cs="Noto Sans"/>
          <w:b/>
          <w:bCs/>
          <w:sz w:val="28"/>
          <w:szCs w:val="28"/>
          <w:lang w:val="fr"/>
        </w:rPr>
        <w:t>Faire de la requalification une opportunité stratégique pour un emballage pharmaceutique plus durable</w:t>
      </w:r>
    </w:p>
    <w:p w14:paraId="6E871FAE" w14:textId="77777777" w:rsidR="000002AD" w:rsidRDefault="000002AD" w:rsidP="000002AD">
      <w:pPr>
        <w:rPr>
          <w:rFonts w:ascii="Noto Sans" w:hAnsi="Noto Sans" w:cs="Noto Sans"/>
          <w:i/>
          <w:iCs/>
          <w:sz w:val="22"/>
          <w:lang w:val="fr"/>
        </w:rPr>
      </w:pPr>
    </w:p>
    <w:p w14:paraId="2AA2444F" w14:textId="61AE44AF" w:rsidR="000002AD" w:rsidRPr="000002AD" w:rsidRDefault="000002AD" w:rsidP="000002AD">
      <w:pPr>
        <w:rPr>
          <w:rFonts w:ascii="Noto Sans" w:hAnsi="Noto Sans" w:cs="Noto Sans"/>
          <w:b/>
          <w:bCs/>
          <w:sz w:val="22"/>
          <w:lang w:val="fr"/>
        </w:rPr>
      </w:pPr>
      <w:r w:rsidRPr="000002AD">
        <w:rPr>
          <w:rFonts w:ascii="Noto Sans" w:hAnsi="Noto Sans" w:cs="Noto Sans"/>
          <w:i/>
          <w:iCs/>
          <w:sz w:val="22"/>
          <w:lang w:val="fr"/>
        </w:rPr>
        <w:t>La requalification est souvent considérée comme une interruption critique des opérations pharmaceutiques. Bien qu’elle puisse sembler contraignante, elle est essentielle pour garantir la qualité, la cohérence et la sécurité des produits</w:t>
      </w:r>
      <w:r w:rsidRPr="000002AD">
        <w:rPr>
          <w:rFonts w:ascii="Noto Sans" w:hAnsi="Noto Sans" w:cs="Noto Sans"/>
          <w:b/>
          <w:bCs/>
          <w:i/>
          <w:iCs/>
          <w:sz w:val="22"/>
          <w:lang w:val="fr"/>
        </w:rPr>
        <w:t xml:space="preserve">. </w:t>
      </w:r>
      <w:r w:rsidRPr="000002AD">
        <w:rPr>
          <w:rFonts w:ascii="Noto Sans" w:hAnsi="Noto Sans" w:cs="Noto Sans"/>
          <w:i/>
          <w:iCs/>
          <w:sz w:val="22"/>
          <w:lang w:val="fr"/>
        </w:rPr>
        <w:t xml:space="preserve">Au-delà de son rôle réglementaire, ce temps d'arrêt planifié offre une véritable opportunité stratégique :  repenser les processus d'emballage et intégrer des solutions innovantes pour renforcer la durabilité et l'efficacité, explique Ian Chapman, Strategic Manager - Digital Coding chez </w:t>
      </w:r>
      <w:hyperlink r:id="rId6" w:history="1">
        <w:r w:rsidRPr="00F15CB4">
          <w:rPr>
            <w:rStyle w:val="Hyperlink"/>
            <w:rFonts w:ascii="Noto Sans" w:hAnsi="Noto Sans" w:cs="Noto Sans"/>
            <w:i/>
            <w:iCs/>
            <w:sz w:val="22"/>
            <w:lang w:val="fr"/>
          </w:rPr>
          <w:t>Domino Printing Sciences</w:t>
        </w:r>
      </w:hyperlink>
      <w:r w:rsidRPr="000002AD">
        <w:rPr>
          <w:rFonts w:ascii="Noto Sans" w:hAnsi="Noto Sans" w:cs="Noto Sans"/>
          <w:i/>
          <w:iCs/>
          <w:sz w:val="22"/>
          <w:lang w:val="fr"/>
        </w:rPr>
        <w:t xml:space="preserve"> (Domino).</w:t>
      </w:r>
    </w:p>
    <w:p w14:paraId="3B3661CC" w14:textId="77777777" w:rsidR="000002AD" w:rsidRDefault="000002AD" w:rsidP="000002AD">
      <w:pPr>
        <w:rPr>
          <w:rFonts w:ascii="Noto Sans" w:hAnsi="Noto Sans" w:cs="Noto Sans"/>
          <w:b/>
          <w:bCs/>
          <w:sz w:val="22"/>
          <w:lang w:val="fr"/>
        </w:rPr>
      </w:pPr>
    </w:p>
    <w:p w14:paraId="2E2354A8" w14:textId="10B64309" w:rsidR="000002AD" w:rsidRPr="000002AD" w:rsidRDefault="000002AD" w:rsidP="000002AD">
      <w:pPr>
        <w:rPr>
          <w:rFonts w:ascii="Noto Sans" w:hAnsi="Noto Sans" w:cs="Noto Sans"/>
          <w:b/>
          <w:bCs/>
          <w:sz w:val="22"/>
          <w:lang w:val="es-ES"/>
        </w:rPr>
      </w:pPr>
      <w:r w:rsidRPr="000002AD">
        <w:rPr>
          <w:rFonts w:ascii="Noto Sans" w:hAnsi="Noto Sans" w:cs="Noto Sans"/>
          <w:b/>
          <w:bCs/>
          <w:sz w:val="22"/>
          <w:lang w:val="fr"/>
        </w:rPr>
        <w:t>Les impératifs en matière d'emballage durable</w:t>
      </w:r>
    </w:p>
    <w:p w14:paraId="1C736F39" w14:textId="06637738" w:rsidR="000002AD" w:rsidRPr="000002AD" w:rsidRDefault="000002AD" w:rsidP="000002AD">
      <w:pPr>
        <w:jc w:val="both"/>
        <w:rPr>
          <w:rFonts w:ascii="Noto Sans" w:hAnsi="Noto Sans" w:cs="Noto Sans"/>
          <w:sz w:val="22"/>
          <w:lang w:val="fr"/>
        </w:rPr>
      </w:pPr>
      <w:r w:rsidRPr="000002AD">
        <w:rPr>
          <w:rFonts w:ascii="Noto Sans" w:hAnsi="Noto Sans"/>
          <w:sz w:val="22"/>
          <w:lang w:val="fr"/>
        </w:rPr>
        <w:t>Les entreprises pharmaceutiques sont confrontées à une pression environnementale croissante. Selon l'</w:t>
      </w:r>
      <w:hyperlink r:id="rId7" w:history="1">
        <w:r w:rsidRPr="000002AD">
          <w:rPr>
            <w:rStyle w:val="Hyperlink"/>
            <w:rFonts w:ascii="Noto Sans" w:hAnsi="Noto Sans" w:cs="Noto Sans"/>
            <w:sz w:val="22"/>
            <w:lang w:val="fr"/>
          </w:rPr>
          <w:t>American Pharmaceutical</w:t>
        </w:r>
        <w:r w:rsidR="00F15CB4">
          <w:rPr>
            <w:rStyle w:val="Hyperlink"/>
            <w:rFonts w:ascii="Noto Sans" w:hAnsi="Noto Sans" w:cs="Noto Sans"/>
            <w:sz w:val="22"/>
            <w:lang w:val="fr"/>
          </w:rPr>
          <w:t xml:space="preserve"> </w:t>
        </w:r>
        <w:proofErr w:type="spellStart"/>
        <w:r w:rsidRPr="000002AD">
          <w:rPr>
            <w:rStyle w:val="Hyperlink"/>
            <w:rFonts w:ascii="Noto Sans" w:hAnsi="Noto Sans" w:cs="Noto Sans"/>
            <w:sz w:val="22"/>
            <w:lang w:val="fr"/>
          </w:rPr>
          <w:t>Review</w:t>
        </w:r>
        <w:proofErr w:type="spellEnd"/>
      </w:hyperlink>
      <w:r w:rsidRPr="000002AD">
        <w:rPr>
          <w:rFonts w:ascii="Noto Sans" w:hAnsi="Noto Sans"/>
          <w:sz w:val="22"/>
          <w:lang w:val="fr"/>
        </w:rPr>
        <w:t>, on estime que l'industrie pharmaceutique émet environ 52 millions de tonnes de CO</w:t>
      </w:r>
      <w:r w:rsidRPr="000002AD">
        <w:rPr>
          <w:rFonts w:ascii="Cambria Math" w:hAnsi="Cambria Math"/>
          <w:sz w:val="22"/>
          <w:lang w:val="fr"/>
        </w:rPr>
        <w:t>₂</w:t>
      </w:r>
      <w:r w:rsidRPr="000002AD">
        <w:rPr>
          <w:rFonts w:ascii="Noto Sans" w:hAnsi="Noto Sans"/>
          <w:sz w:val="22"/>
          <w:lang w:val="fr"/>
        </w:rPr>
        <w:t xml:space="preserve"> par an via les emballages et les opérations. Les implications ne sont pas seulement réglementaires et financières. L'examen minutieux des consommateurs et des investisseurs est également un moteur de changement. Les consommateurs évaluent de plus en plus les performances environnementales des entreprises et environ 70 % sont prêts à payer plus pour des emballages durables.</w:t>
      </w:r>
    </w:p>
    <w:p w14:paraId="137EAE68" w14:textId="77777777" w:rsidR="000002AD" w:rsidRPr="000002AD" w:rsidRDefault="000002AD" w:rsidP="000002AD">
      <w:pPr>
        <w:jc w:val="both"/>
        <w:rPr>
          <w:rFonts w:ascii="Noto Sans" w:hAnsi="Noto Sans" w:cs="Noto Sans"/>
          <w:sz w:val="22"/>
          <w:lang w:val="fr"/>
        </w:rPr>
      </w:pPr>
      <w:r w:rsidRPr="000002AD">
        <w:rPr>
          <w:rFonts w:ascii="Noto Sans" w:hAnsi="Noto Sans" w:cs="Noto Sans"/>
          <w:sz w:val="22"/>
          <w:lang w:val="fr"/>
        </w:rPr>
        <w:t>Ensemble, ces facteurs stimulent une demande croissante pour les emballages pharmaceutiques durables, le marché devant passer de 92 milliards de dollars en 2024 à 372 milliards de dollars d'ici 2034, soit un taux de croissance annuel moyen de 15 %. Cette augmentation met en évidence que la durabilité n'est plus optionnelle : elle est fondamentale.</w:t>
      </w:r>
    </w:p>
    <w:p w14:paraId="75712570" w14:textId="77777777" w:rsidR="000002AD" w:rsidRDefault="000002AD" w:rsidP="000002AD">
      <w:pPr>
        <w:rPr>
          <w:rFonts w:ascii="Noto Sans" w:hAnsi="Noto Sans" w:cs="Noto Sans"/>
          <w:b/>
          <w:bCs/>
          <w:sz w:val="22"/>
          <w:lang w:val="fr"/>
        </w:rPr>
      </w:pPr>
    </w:p>
    <w:p w14:paraId="7DF5974E" w14:textId="3272B406" w:rsidR="000002AD" w:rsidRPr="000002AD" w:rsidRDefault="000002AD" w:rsidP="000002AD">
      <w:pPr>
        <w:rPr>
          <w:rFonts w:ascii="Noto Sans" w:hAnsi="Noto Sans" w:cs="Noto Sans"/>
          <w:b/>
          <w:bCs/>
          <w:sz w:val="22"/>
          <w:lang w:val="fr"/>
        </w:rPr>
      </w:pPr>
      <w:r w:rsidRPr="000002AD">
        <w:rPr>
          <w:rFonts w:ascii="Noto Sans" w:hAnsi="Noto Sans" w:cs="Noto Sans"/>
          <w:b/>
          <w:bCs/>
          <w:sz w:val="22"/>
          <w:lang w:val="fr"/>
        </w:rPr>
        <w:t>Éliminer les déchets d'emballage</w:t>
      </w:r>
    </w:p>
    <w:p w14:paraId="51BA8F22" w14:textId="30E16075" w:rsidR="000002AD" w:rsidRPr="000002AD" w:rsidRDefault="000002AD" w:rsidP="000002AD">
      <w:pPr>
        <w:rPr>
          <w:rFonts w:ascii="Noto Sans" w:hAnsi="Noto Sans" w:cs="Noto Sans"/>
          <w:sz w:val="22"/>
        </w:rPr>
      </w:pPr>
      <w:r w:rsidRPr="000002AD">
        <w:rPr>
          <w:rFonts w:ascii="Noto Sans" w:hAnsi="Noto Sans" w:cs="Noto Sans"/>
          <w:sz w:val="22"/>
          <w:lang w:val="fr"/>
        </w:rPr>
        <w:lastRenderedPageBreak/>
        <w:t>Le défi de la fabrication pharmaceutique ne se limite pas à adopter des matériaux d’emballage durables : des pratiques établies depuis longtemps génèrent encore trop de déchets et gaspillent des ressources. L'utilisation de documents pré-imprimés, de stock de sécurité et de changements peu efficaces reste généralisée. Pire encore, lorsque les réglementations modifient les exigences ou que les illustrations évoluent, des lots entiers d'emballages deviennent souvent obsolètes du jour au lendemain.</w:t>
      </w:r>
    </w:p>
    <w:p w14:paraId="7D11F8AB" w14:textId="513E3C6C" w:rsidR="000002AD" w:rsidRPr="000002AD" w:rsidRDefault="000002AD" w:rsidP="000002AD">
      <w:pPr>
        <w:rPr>
          <w:rFonts w:ascii="Noto Sans" w:hAnsi="Noto Sans" w:cs="Noto Sans"/>
          <w:sz w:val="22"/>
          <w:lang w:val="es-ES"/>
        </w:rPr>
      </w:pPr>
      <w:r w:rsidRPr="000002AD">
        <w:rPr>
          <w:rFonts w:ascii="Noto Sans" w:hAnsi="Noto Sans" w:cs="Noto Sans"/>
          <w:sz w:val="22"/>
          <w:lang w:val="fr"/>
        </w:rPr>
        <w:t xml:space="preserve">La volatilité au sein des chaînes d'approvisionnement ajoute également au défi : la fabrication pharmaceutique exige de plus en plus des modèles agiles qui prennent en charge de petites tailles de lots et une personnalisation à un stade avancé. L'adoption de systèmes d'impression numérique en ligne permet aux fabricants d'imprimer à la demande, en éliminant les stocks et en réduisant le gaspillage. Par exemple, l'utilisation de feuilles vierges avec impression numérique en ligne supprime non seulement le besoin de stock pré-imprimé, mais réduit également la complexité de l'inventaire. De nombreux fabricants </w:t>
      </w:r>
      <w:proofErr w:type="spellStart"/>
      <w:r w:rsidRPr="000002AD">
        <w:rPr>
          <w:rFonts w:ascii="Noto Sans" w:hAnsi="Noto Sans" w:cs="Noto Sans"/>
          <w:sz w:val="22"/>
          <w:lang w:val="fr"/>
        </w:rPr>
        <w:t>surcommandent</w:t>
      </w:r>
      <w:proofErr w:type="spellEnd"/>
      <w:r w:rsidRPr="000002AD">
        <w:rPr>
          <w:rFonts w:ascii="Noto Sans" w:hAnsi="Noto Sans" w:cs="Noto Sans"/>
          <w:sz w:val="22"/>
          <w:lang w:val="fr"/>
        </w:rPr>
        <w:t xml:space="preserve"> 15 % à 20 % de feuilles pré-imprimées par ligne de produit, entraînant un gaspillage important. Une inefficacité que les flux de production avec feuilles vierges permettent d'éliminer. </w:t>
      </w:r>
    </w:p>
    <w:p w14:paraId="671BD978" w14:textId="77777777" w:rsidR="000002AD" w:rsidRDefault="000002AD" w:rsidP="000002AD">
      <w:pPr>
        <w:rPr>
          <w:rFonts w:ascii="Noto Sans" w:hAnsi="Noto Sans" w:cs="Noto Sans"/>
          <w:b/>
          <w:bCs/>
          <w:sz w:val="22"/>
          <w:lang w:val="fr"/>
        </w:rPr>
      </w:pPr>
    </w:p>
    <w:p w14:paraId="357DB8D9" w14:textId="4AE8FC17" w:rsidR="000002AD" w:rsidRPr="000002AD" w:rsidRDefault="000002AD" w:rsidP="000002AD">
      <w:pPr>
        <w:rPr>
          <w:rFonts w:ascii="Noto Sans" w:hAnsi="Noto Sans" w:cs="Noto Sans"/>
          <w:b/>
          <w:bCs/>
          <w:sz w:val="22"/>
          <w:lang w:val="es-ES"/>
        </w:rPr>
      </w:pPr>
      <w:r w:rsidRPr="000002AD">
        <w:rPr>
          <w:rFonts w:ascii="Noto Sans" w:hAnsi="Noto Sans" w:cs="Noto Sans"/>
          <w:b/>
          <w:bCs/>
          <w:sz w:val="22"/>
          <w:lang w:val="fr"/>
        </w:rPr>
        <w:t>Améliorer l'agilité réglementaire</w:t>
      </w:r>
    </w:p>
    <w:p w14:paraId="33293912" w14:textId="77777777" w:rsidR="000002AD" w:rsidRPr="000002AD" w:rsidRDefault="000002AD" w:rsidP="000002AD">
      <w:pPr>
        <w:rPr>
          <w:rFonts w:ascii="Noto Sans" w:hAnsi="Noto Sans" w:cs="Noto Sans"/>
          <w:sz w:val="22"/>
          <w:lang w:val="fr"/>
        </w:rPr>
      </w:pPr>
      <w:r w:rsidRPr="000002AD">
        <w:rPr>
          <w:rFonts w:ascii="Noto Sans" w:hAnsi="Noto Sans" w:cs="Noto Sans"/>
          <w:sz w:val="22"/>
          <w:lang w:val="fr"/>
        </w:rPr>
        <w:t>Les systèmes d'impression numérique en ligne aident également les fabricants de produits pharmaceutiques à atteindre l'agilité exigée par les réglementations en constante évolution et les adaptations locales pour soutenir un marché mondial. Pour éviter des goulots d'étranglement coûteux et frustrants, les processus de conditionnement pharmaceutique doivent s'adapter rapidement, en limitant les changements prolongés et la mise en place de nouveaux outils.</w:t>
      </w:r>
    </w:p>
    <w:p w14:paraId="4F7F3204" w14:textId="5BA0E5DB" w:rsidR="000002AD" w:rsidRPr="000002AD" w:rsidRDefault="000002AD" w:rsidP="000002AD">
      <w:pPr>
        <w:rPr>
          <w:rFonts w:ascii="Noto Sans" w:hAnsi="Noto Sans" w:cs="Noto Sans"/>
          <w:sz w:val="22"/>
          <w:lang w:val="fr"/>
        </w:rPr>
      </w:pPr>
      <w:r w:rsidRPr="000002AD">
        <w:rPr>
          <w:rFonts w:ascii="Noto Sans" w:hAnsi="Noto Sans" w:cs="Noto Sans"/>
          <w:sz w:val="22"/>
          <w:lang w:val="fr"/>
        </w:rPr>
        <w:t xml:space="preserve">L'utilisation d'une technologie numérique adaptable permet de mettre à jour en temps réel les langues, les images ou le texte réglementaire, favorisant des lots plus petits, la localisation et une adaptation rapide. Les solutions connectées modernes basées sur le </w:t>
      </w:r>
      <w:r w:rsidRPr="000002AD">
        <w:rPr>
          <w:rFonts w:ascii="Noto Sans" w:hAnsi="Noto Sans" w:cs="Noto Sans"/>
          <w:sz w:val="22"/>
          <w:lang w:val="fr"/>
        </w:rPr>
        <w:lastRenderedPageBreak/>
        <w:t>cloud réduisent les temps d'arrêt et accélèrent la mise sur le marché, ce qui est crucial pour répondre aux besoins des patients et aux exigences réglementaires.</w:t>
      </w:r>
    </w:p>
    <w:p w14:paraId="00229CE0" w14:textId="77777777" w:rsidR="000002AD" w:rsidRDefault="000002AD" w:rsidP="000002AD">
      <w:pPr>
        <w:rPr>
          <w:rFonts w:ascii="Noto Sans" w:hAnsi="Noto Sans" w:cs="Noto Sans"/>
          <w:b/>
          <w:bCs/>
          <w:sz w:val="22"/>
          <w:lang w:val="fr"/>
        </w:rPr>
      </w:pPr>
    </w:p>
    <w:p w14:paraId="5DAEB26C" w14:textId="1CA85070" w:rsidR="000002AD" w:rsidRPr="000002AD" w:rsidRDefault="000002AD" w:rsidP="000002AD">
      <w:pPr>
        <w:rPr>
          <w:rFonts w:ascii="Noto Sans" w:hAnsi="Noto Sans" w:cs="Noto Sans"/>
          <w:b/>
          <w:bCs/>
          <w:sz w:val="22"/>
          <w:lang w:val="fr"/>
        </w:rPr>
      </w:pPr>
      <w:r w:rsidRPr="000002AD">
        <w:rPr>
          <w:rFonts w:ascii="Noto Sans" w:hAnsi="Noto Sans" w:cs="Noto Sans"/>
          <w:b/>
          <w:bCs/>
          <w:sz w:val="22"/>
          <w:lang w:val="fr"/>
        </w:rPr>
        <w:t xml:space="preserve">Un moteur d'innovation </w:t>
      </w:r>
    </w:p>
    <w:p w14:paraId="11FFB374" w14:textId="77777777" w:rsidR="000002AD" w:rsidRPr="000002AD" w:rsidRDefault="000002AD" w:rsidP="000002AD">
      <w:pPr>
        <w:rPr>
          <w:rFonts w:ascii="Noto Sans" w:hAnsi="Noto Sans" w:cs="Noto Sans"/>
          <w:sz w:val="22"/>
          <w:lang w:val="fr"/>
        </w:rPr>
      </w:pPr>
      <w:r w:rsidRPr="000002AD">
        <w:rPr>
          <w:rFonts w:ascii="Noto Sans" w:hAnsi="Noto Sans" w:cs="Noto Sans"/>
          <w:sz w:val="22"/>
          <w:lang w:val="fr"/>
        </w:rPr>
        <w:t>La requalification entraîne inévitablement des perturbations. L'approche intelligente consiste à la traiter non pas comme un temps d'arrêt, mais comme une opportunité stratégique d'amélioration continue.</w:t>
      </w:r>
    </w:p>
    <w:p w14:paraId="199410EE" w14:textId="77777777" w:rsidR="000002AD" w:rsidRPr="000002AD" w:rsidRDefault="000002AD" w:rsidP="000002AD">
      <w:pPr>
        <w:rPr>
          <w:rFonts w:ascii="Noto Sans" w:hAnsi="Noto Sans" w:cs="Noto Sans"/>
          <w:sz w:val="22"/>
        </w:rPr>
      </w:pPr>
      <w:r w:rsidRPr="000002AD">
        <w:rPr>
          <w:rFonts w:ascii="Noto Sans" w:hAnsi="Noto Sans" w:cs="Noto Sans"/>
          <w:sz w:val="22"/>
          <w:lang w:val="fr"/>
        </w:rPr>
        <w:t>La requalification est le moment idéal pour les fabricants d'adopter des systèmes d'impression numérique en ligne dans le but d'harmoniser l'emballage avec les objectifs ESG, la résilience opérationnelle et répondre aux exigences réglementaires. Et la collaboration est essentielle : s'associer à des experts qui apportent une technologie pharmaceutique validée et une approche coopérative garantit l'évolutivité, accélère le retour sur investissement et réduit les risques.</w:t>
      </w:r>
    </w:p>
    <w:p w14:paraId="605A3F3E" w14:textId="77777777" w:rsidR="000002AD" w:rsidRPr="000002AD" w:rsidRDefault="000002AD" w:rsidP="000002AD">
      <w:pPr>
        <w:rPr>
          <w:rFonts w:ascii="Noto Sans" w:hAnsi="Noto Sans" w:cs="Noto Sans"/>
          <w:sz w:val="22"/>
          <w:lang w:val="fr"/>
        </w:rPr>
      </w:pPr>
      <w:r w:rsidRPr="000002AD">
        <w:rPr>
          <w:rFonts w:ascii="Noto Sans" w:hAnsi="Noto Sans" w:cs="Noto Sans"/>
          <w:sz w:val="22"/>
          <w:lang w:val="fr"/>
        </w:rPr>
        <w:t>Autre avantage important : la numérisation réduit considérablement les délais de modification des illustrations. Historiquement, les approbations et l'impression pouvaient prendre des semaines, voire des mois. Cependant, les flux de travail numériques peuvent compresser ces délais, en remettant les lignes beaucoup plus rapidement en service et permettant ainsi au flux de revenus de circuler.</w:t>
      </w:r>
    </w:p>
    <w:p w14:paraId="5D262D64" w14:textId="77777777" w:rsidR="000002AD" w:rsidRDefault="000002AD" w:rsidP="000002AD">
      <w:pPr>
        <w:rPr>
          <w:rFonts w:ascii="Noto Sans" w:hAnsi="Noto Sans" w:cs="Noto Sans"/>
          <w:b/>
          <w:bCs/>
          <w:sz w:val="22"/>
          <w:lang w:val="fr"/>
        </w:rPr>
      </w:pPr>
    </w:p>
    <w:p w14:paraId="013923FD" w14:textId="3AE4232C" w:rsidR="000002AD" w:rsidRPr="000002AD" w:rsidRDefault="000002AD" w:rsidP="000002AD">
      <w:pPr>
        <w:rPr>
          <w:rFonts w:ascii="Noto Sans" w:hAnsi="Noto Sans" w:cs="Noto Sans"/>
          <w:b/>
          <w:bCs/>
          <w:sz w:val="22"/>
          <w:lang w:val="fr"/>
        </w:rPr>
      </w:pPr>
      <w:proofErr w:type="gramStart"/>
      <w:r w:rsidRPr="000002AD">
        <w:rPr>
          <w:rFonts w:ascii="Noto Sans" w:hAnsi="Noto Sans" w:cs="Noto Sans"/>
          <w:b/>
          <w:bCs/>
          <w:sz w:val="22"/>
          <w:lang w:val="fr"/>
        </w:rPr>
        <w:t>Des emballage pérennes</w:t>
      </w:r>
      <w:proofErr w:type="gramEnd"/>
    </w:p>
    <w:p w14:paraId="08265B0F" w14:textId="77777777" w:rsidR="000002AD" w:rsidRPr="000002AD" w:rsidRDefault="000002AD" w:rsidP="000002AD">
      <w:pPr>
        <w:rPr>
          <w:rFonts w:ascii="Noto Sans" w:hAnsi="Noto Sans" w:cs="Noto Sans"/>
          <w:sz w:val="22"/>
          <w:lang w:val="fr"/>
        </w:rPr>
      </w:pPr>
      <w:r w:rsidRPr="000002AD">
        <w:rPr>
          <w:rFonts w:ascii="Noto Sans" w:hAnsi="Noto Sans" w:cs="Noto Sans"/>
          <w:sz w:val="22"/>
          <w:lang w:val="fr"/>
        </w:rPr>
        <w:t xml:space="preserve">La requalification ne signifie pas nécessairement prendre du retard. En fait, si elle est traitée de manière stratégique, elle peut accélérer la transformation des opérations d'emballage pharmaceutique en un système plus efficace, durable et pérenne. </w:t>
      </w:r>
    </w:p>
    <w:p w14:paraId="42800021" w14:textId="77777777" w:rsidR="000002AD" w:rsidRPr="000002AD" w:rsidRDefault="000002AD" w:rsidP="000002AD">
      <w:pPr>
        <w:rPr>
          <w:rFonts w:ascii="Noto Sans" w:hAnsi="Noto Sans" w:cs="Noto Sans"/>
          <w:sz w:val="22"/>
          <w:lang w:val="es-ES"/>
        </w:rPr>
      </w:pPr>
      <w:r w:rsidRPr="000002AD">
        <w:rPr>
          <w:rFonts w:ascii="Noto Sans" w:hAnsi="Noto Sans" w:cs="Noto Sans"/>
          <w:sz w:val="22"/>
          <w:lang w:val="fr"/>
        </w:rPr>
        <w:t xml:space="preserve">L'industrie évolue ; les réglementations, les marchés, les technologies également. Une étude de </w:t>
      </w:r>
      <w:hyperlink r:id="rId8" w:history="1">
        <w:proofErr w:type="spellStart"/>
        <w:r w:rsidRPr="000002AD">
          <w:rPr>
            <w:rStyle w:val="Hyperlink"/>
            <w:rFonts w:ascii="Noto Sans" w:hAnsi="Noto Sans" w:cs="Noto Sans"/>
            <w:sz w:val="22"/>
            <w:lang w:val="fr"/>
          </w:rPr>
          <w:t>Mordor</w:t>
        </w:r>
        <w:proofErr w:type="spellEnd"/>
        <w:r w:rsidRPr="000002AD">
          <w:rPr>
            <w:rStyle w:val="Hyperlink"/>
            <w:rFonts w:ascii="Noto Sans" w:hAnsi="Noto Sans" w:cs="Noto Sans"/>
            <w:sz w:val="22"/>
            <w:lang w:val="fr"/>
          </w:rPr>
          <w:t xml:space="preserve"> Intelligence</w:t>
        </w:r>
      </w:hyperlink>
      <w:r w:rsidRPr="000002AD">
        <w:rPr>
          <w:rFonts w:ascii="Noto Sans" w:hAnsi="Noto Sans" w:cs="Noto Sans"/>
          <w:sz w:val="22"/>
          <w:lang w:val="fr"/>
        </w:rPr>
        <w:t xml:space="preserve"> révèle que le marché de l'impression d'emballages numériques devrait passer de 34 milliards de dollars en 2025 à 56 milliards de dollars d'ici 2030, soit un taux de croissance annuel moyen de plus de 10 %. De plus en plus de marques abandonnent les impressions analogiques pour des flux de travail sans </w:t>
      </w:r>
      <w:r w:rsidRPr="000002AD">
        <w:rPr>
          <w:rFonts w:ascii="Noto Sans" w:hAnsi="Noto Sans" w:cs="Noto Sans"/>
          <w:sz w:val="22"/>
          <w:lang w:val="fr"/>
        </w:rPr>
        <w:lastRenderedPageBreak/>
        <w:t xml:space="preserve">plaque afin de permettre la personnalisation de masse, de réduire les déchets et de simplifier les changements. </w:t>
      </w:r>
    </w:p>
    <w:p w14:paraId="4391C160" w14:textId="77777777" w:rsidR="000002AD" w:rsidRPr="000002AD" w:rsidRDefault="000002AD" w:rsidP="000002AD">
      <w:pPr>
        <w:rPr>
          <w:rFonts w:ascii="Noto Sans" w:hAnsi="Noto Sans" w:cs="Noto Sans"/>
          <w:sz w:val="22"/>
          <w:lang w:val="es-ES"/>
        </w:rPr>
      </w:pPr>
      <w:r w:rsidRPr="000002AD">
        <w:rPr>
          <w:rFonts w:ascii="Noto Sans" w:hAnsi="Noto Sans" w:cs="Noto Sans"/>
          <w:sz w:val="22"/>
          <w:lang w:val="fr"/>
        </w:rPr>
        <w:t>En saisissant l'opportunité de mettre à niveau les technologies et les flux de travail pendant la fenêtre de requalification, les fabricants de produits pharmaceutiques peuvent réduire les déchets, améliorer la réactivité et renforcer la résilience opérationnelle à long terme.</w:t>
      </w:r>
    </w:p>
    <w:p w14:paraId="49B457B1" w14:textId="3B803FF2" w:rsidR="000002AD" w:rsidRDefault="000002AD" w:rsidP="000002AD">
      <w:pPr>
        <w:rPr>
          <w:rFonts w:ascii="Noto Sans" w:hAnsi="Noto Sans" w:cs="Noto Sans"/>
          <w:sz w:val="22"/>
          <w:lang w:val="fr"/>
        </w:rPr>
      </w:pPr>
      <w:r w:rsidRPr="00285DC3">
        <w:rPr>
          <w:rFonts w:ascii="Noto Sans" w:hAnsi="Noto Sans" w:cs="Noto Sans"/>
          <w:sz w:val="22"/>
          <w:lang w:val="fr"/>
        </w:rPr>
        <w:t xml:space="preserve">Pour savoir comment Domino peut soutenir votre stratégie de requalification, </w:t>
      </w:r>
      <w:r w:rsidR="00285DC3">
        <w:rPr>
          <w:rFonts w:ascii="Noto Sans" w:hAnsi="Noto Sans" w:cs="Noto Sans"/>
          <w:sz w:val="22"/>
          <w:lang w:val="fr"/>
        </w:rPr>
        <w:t xml:space="preserve"> </w:t>
      </w:r>
      <w:hyperlink r:id="rId9" w:history="1">
        <w:proofErr w:type="spellStart"/>
        <w:r w:rsidR="00285DC3" w:rsidRPr="00285DC3">
          <w:rPr>
            <w:rStyle w:val="Hyperlink"/>
            <w:rFonts w:ascii="Noto Sans" w:hAnsi="Noto Sans" w:cs="Noto Sans"/>
            <w:sz w:val="22"/>
            <w:lang w:val="fr"/>
          </w:rPr>
          <w:t>consultez</w:t>
        </w:r>
        <w:proofErr w:type="spellEnd"/>
      </w:hyperlink>
      <w:r w:rsidR="00285DC3">
        <w:rPr>
          <w:rFonts w:ascii="Noto Sans" w:hAnsi="Noto Sans" w:cs="Noto Sans"/>
          <w:sz w:val="22"/>
          <w:lang w:val="fr"/>
        </w:rPr>
        <w:t xml:space="preserve"> </w:t>
      </w:r>
      <w:r w:rsidRPr="000002AD">
        <w:rPr>
          <w:rFonts w:ascii="Noto Sans" w:hAnsi="Noto Sans" w:cs="Noto Sans"/>
          <w:sz w:val="22"/>
          <w:lang w:val="fr"/>
        </w:rPr>
        <w:t>ou parlez à l'un de nos experts.</w:t>
      </w:r>
    </w:p>
    <w:p w14:paraId="26139510" w14:textId="77777777" w:rsidR="000002AD" w:rsidRPr="000002AD" w:rsidRDefault="000002AD" w:rsidP="000002AD">
      <w:pPr>
        <w:rPr>
          <w:rFonts w:ascii="Noto Sans" w:hAnsi="Noto Sans" w:cs="Noto Sans"/>
          <w:sz w:val="22"/>
          <w:lang w:val="es-ES"/>
        </w:rPr>
      </w:pPr>
    </w:p>
    <w:p w14:paraId="2694F6A5" w14:textId="5DD3FEB7" w:rsidR="000002AD" w:rsidRPr="000002AD" w:rsidRDefault="000002AD" w:rsidP="000002AD">
      <w:pPr>
        <w:rPr>
          <w:rFonts w:ascii="Noto Sans" w:hAnsi="Noto Sans" w:cs="Noto Sans"/>
          <w:color w:val="FF0000"/>
          <w:sz w:val="22"/>
          <w:lang w:val="es-ES"/>
        </w:rPr>
      </w:pPr>
      <w:r>
        <w:rPr>
          <w:rFonts w:ascii="Noto Sans" w:hAnsi="Noto Sans" w:cs="Noto Sans"/>
          <w:sz w:val="22"/>
          <w:lang w:val="fr"/>
        </w:rPr>
        <w:t>&lt;</w:t>
      </w:r>
      <w:r w:rsidRPr="000002AD">
        <w:rPr>
          <w:rFonts w:ascii="Noto Sans" w:hAnsi="Noto Sans" w:cs="Noto Sans"/>
          <w:b/>
          <w:bCs/>
          <w:sz w:val="22"/>
          <w:lang w:val="fr"/>
        </w:rPr>
        <w:t>FIN</w:t>
      </w:r>
      <w:r>
        <w:rPr>
          <w:rFonts w:ascii="Noto Sans" w:hAnsi="Noto Sans" w:cs="Noto Sans"/>
          <w:sz w:val="22"/>
          <w:lang w:val="fr"/>
        </w:rPr>
        <w:t>&gt;</w:t>
      </w:r>
    </w:p>
    <w:p w14:paraId="7D3F7B02" w14:textId="77777777" w:rsidR="00BC6306" w:rsidRDefault="00BC6306" w:rsidP="00C44603">
      <w:pPr>
        <w:rPr>
          <w:rFonts w:ascii="Noto Sans" w:eastAsia="Gill Sans" w:hAnsi="Noto Sans" w:cs="Noto Sans"/>
          <w:b/>
          <w:bCs/>
          <w:sz w:val="20"/>
          <w:szCs w:val="20"/>
          <w:lang w:val="fr-FR"/>
        </w:rPr>
      </w:pPr>
      <w:bookmarkStart w:id="0" w:name="_Hlk46133219"/>
    </w:p>
    <w:p w14:paraId="53EB7C38" w14:textId="037D695B" w:rsidR="005524DB" w:rsidRPr="00BC6306" w:rsidRDefault="00BC6306" w:rsidP="00C44603">
      <w:pPr>
        <w:rPr>
          <w:sz w:val="22"/>
          <w:lang w:val="fr-FR"/>
        </w:rPr>
      </w:pPr>
      <w:r w:rsidRPr="00E06028">
        <w:rPr>
          <w:rFonts w:ascii="Noto Sans" w:eastAsia="Gill Sans" w:hAnsi="Noto Sans" w:cs="Noto Sans"/>
          <w:b/>
          <w:bCs/>
          <w:sz w:val="20"/>
          <w:szCs w:val="20"/>
          <w:lang w:val="fr-FR"/>
        </w:rPr>
        <w:t>Avis de non-responsabilité</w:t>
      </w:r>
      <w:r w:rsidRPr="00E06028">
        <w:rPr>
          <w:rFonts w:ascii="Noto Sans" w:eastAsia="Gill Sans" w:hAnsi="Noto Sans" w:cs="Noto Sans"/>
          <w:b/>
          <w:sz w:val="20"/>
          <w:szCs w:val="20"/>
          <w:lang w:val="es-ES"/>
        </w:rPr>
        <w:br/>
      </w:r>
      <w:r w:rsidRPr="00E06028">
        <w:rPr>
          <w:rFonts w:ascii="Noto Sans" w:eastAsia="Gill Sans" w:hAnsi="Noto Sans" w:cs="Noto Sans"/>
          <w:sz w:val="20"/>
          <w:szCs w:val="20"/>
          <w:lang w:val="es-ES"/>
        </w:rPr>
        <w:br/>
      </w:r>
      <w:r w:rsidRPr="00E06028">
        <w:rPr>
          <w:rFonts w:ascii="Noto Sans" w:hAnsi="Noto Sans" w:cs="Noto Sans"/>
          <w:b/>
          <w:bCs/>
          <w:sz w:val="20"/>
          <w:szCs w:val="20"/>
          <w:lang w:val="fr-FR"/>
        </w:rPr>
        <w:t>Encres</w:t>
      </w:r>
      <w:r w:rsidRPr="00E06028">
        <w:rPr>
          <w:rFonts w:ascii="Noto Sans" w:hAnsi="Noto Sans" w:cs="Noto Sans"/>
          <w:sz w:val="20"/>
          <w:szCs w:val="20"/>
          <w:lang w:val="es-ES"/>
        </w:rPr>
        <w:br/>
      </w:r>
      <w:r w:rsidRPr="00E06028">
        <w:rPr>
          <w:rFonts w:ascii="Noto Sans" w:hAnsi="Noto Sans" w:cs="Noto Sans"/>
          <w:sz w:val="20"/>
          <w:szCs w:val="20"/>
          <w:lang w:val="fr-FR"/>
        </w:rPr>
        <w:t xml:space="preserve">Les informations figurant aux présentes ne se substituent pas à la réalisation des essais nécessaires pour vérifier la bonne adéquation à votre utilisation et à vos circonstances particulières. Ni Domino UK Limited ni aucune autre société du groupe Domino ne sauraient être responsables dans le cas où vous vous êtes fiés aux informations du présent document quant à la convenance d’une encre à vos besoins particuliers. Le présent document ne fait pas partie des conditions générales entre vous-même et Domino. Les mentions légales v.1.0 de février 2018 et les conditions générales de vente de Domino, et plus particulièrement les garanties et responsabilités qui en relèvent, s’appliquent à tout achat de produit que vous réalisez. </w:t>
      </w:r>
      <w:r w:rsidRPr="00E06028">
        <w:rPr>
          <w:rFonts w:ascii="Noto Sans" w:hAnsi="Noto Sans" w:cs="Noto Sans"/>
          <w:sz w:val="20"/>
          <w:szCs w:val="20"/>
          <w:lang w:val="es-ES"/>
        </w:rPr>
        <w:br/>
      </w:r>
      <w:r w:rsidRPr="00E06028">
        <w:rPr>
          <w:rFonts w:ascii="Noto Sans" w:hAnsi="Noto Sans" w:cs="Noto Sans"/>
          <w:sz w:val="20"/>
          <w:szCs w:val="20"/>
          <w:lang w:val="es-ES"/>
        </w:rPr>
        <w:br/>
      </w:r>
      <w:r w:rsidRPr="00E06028">
        <w:rPr>
          <w:rFonts w:ascii="Noto Sans" w:hAnsi="Noto Sans" w:cs="Noto Sans"/>
          <w:b/>
          <w:bCs/>
          <w:sz w:val="20"/>
          <w:szCs w:val="20"/>
          <w:lang w:val="fr-FR"/>
        </w:rPr>
        <w:t>Généralités</w:t>
      </w:r>
      <w:r w:rsidRPr="00E06028">
        <w:rPr>
          <w:rFonts w:ascii="Noto Sans" w:hAnsi="Noto Sans" w:cs="Noto Sans"/>
          <w:sz w:val="20"/>
          <w:szCs w:val="20"/>
          <w:lang w:val="es-ES"/>
        </w:rPr>
        <w:br/>
      </w:r>
      <w:r w:rsidRPr="001D71EE">
        <w:rPr>
          <w:rFonts w:ascii="Noto Sans" w:hAnsi="Noto Sans" w:cs="Noto Sans"/>
          <w:sz w:val="20"/>
          <w:szCs w:val="20"/>
          <w:lang w:val="fr-FR"/>
        </w:rPr>
        <w:t xml:space="preserve">Les informations contenues dans ce communiqué de presse sont considérées comme vraies et exactes à la date de publication par Domino. Des changements de circonstances après la date de publication peuvent avoir un impact sur l'exactitude des informations. </w:t>
      </w:r>
      <w:r w:rsidRPr="00E06028">
        <w:rPr>
          <w:rFonts w:ascii="Noto Sans" w:hAnsi="Noto Sans" w:cs="Noto Sans"/>
          <w:sz w:val="20"/>
          <w:szCs w:val="20"/>
          <w:lang w:val="fr-FR"/>
        </w:rPr>
        <w:t xml:space="preserve">Tous les chiffres et déclarations en matière de résultats indiqués dans les présentes ont été obtenus dans des </w:t>
      </w:r>
      <w:r w:rsidRPr="00E06028">
        <w:rPr>
          <w:rFonts w:ascii="Noto Sans" w:hAnsi="Noto Sans" w:cs="Noto Sans"/>
          <w:sz w:val="20"/>
          <w:szCs w:val="20"/>
          <w:lang w:val="fr-FR"/>
        </w:rPr>
        <w:lastRenderedPageBreak/>
        <w:t>conditions particulières et ne peuvent être reproduits que dans des circonstances similaires. Pour toutes informations sur un produit particulier, contactez votre Représentant Domino local.  Ce document n’est pas intégré aux conditions générales de vente entre vous-même et Domino.</w:t>
      </w:r>
      <w:r w:rsidRPr="00E06028">
        <w:rPr>
          <w:rFonts w:ascii="Noto Sans" w:hAnsi="Noto Sans" w:cs="Noto Sans"/>
          <w:sz w:val="20"/>
          <w:szCs w:val="20"/>
          <w:lang w:val="fr-FR"/>
        </w:rPr>
        <w:br/>
      </w:r>
      <w:r w:rsidRPr="00E06028">
        <w:rPr>
          <w:rFonts w:ascii="Noto Sans" w:hAnsi="Noto Sans" w:cs="Noto Sans"/>
          <w:sz w:val="20"/>
          <w:szCs w:val="20"/>
          <w:lang w:val="fr-FR"/>
        </w:rPr>
        <w:br/>
      </w:r>
      <w:r w:rsidRPr="00E06028">
        <w:rPr>
          <w:rFonts w:ascii="Noto Sans" w:hAnsi="Noto Sans" w:cs="Noto Sans"/>
          <w:b/>
          <w:bCs/>
          <w:sz w:val="20"/>
          <w:szCs w:val="20"/>
          <w:lang w:val="fr-FR"/>
        </w:rPr>
        <w:t>Images</w:t>
      </w:r>
      <w:r w:rsidRPr="00E06028">
        <w:rPr>
          <w:rFonts w:ascii="Noto Sans" w:hAnsi="Noto Sans" w:cs="Noto Sans"/>
          <w:sz w:val="20"/>
          <w:szCs w:val="20"/>
        </w:rPr>
        <w:br/>
      </w:r>
      <w:r w:rsidRPr="00E06028">
        <w:rPr>
          <w:rFonts w:ascii="Noto Sans" w:hAnsi="Noto Sans" w:cs="Noto Sans"/>
          <w:sz w:val="20"/>
          <w:szCs w:val="20"/>
          <w:lang w:val="fr-FR"/>
        </w:rPr>
        <w:t xml:space="preserve">Les images peuvent inclure des éléments supplémentaires ou des mises à niveaux. La qualité d'impression peut varier en fonction des consommables, de l'imprimante, des substrats et d'autres facteurs. Les images et photographies ne font pas partie des conditions générales de vente entre vous-même et Domino. </w:t>
      </w:r>
      <w:r w:rsidRPr="00E06028">
        <w:rPr>
          <w:rFonts w:ascii="Noto Sans" w:hAnsi="Noto Sans" w:cs="Noto Sans"/>
          <w:sz w:val="20"/>
          <w:szCs w:val="20"/>
          <w:lang w:val="fr-FR"/>
        </w:rPr>
        <w:br/>
      </w:r>
      <w:r w:rsidRPr="00E06028">
        <w:rPr>
          <w:rFonts w:ascii="Noto Sans" w:hAnsi="Noto Sans" w:cs="Noto Sans"/>
          <w:sz w:val="20"/>
          <w:szCs w:val="20"/>
          <w:lang w:val="fr-FR"/>
        </w:rPr>
        <w:br/>
      </w:r>
      <w:r w:rsidRPr="00E06028">
        <w:rPr>
          <w:rFonts w:ascii="Noto Sans" w:hAnsi="Noto Sans" w:cs="Noto Sans"/>
          <w:b/>
          <w:bCs/>
          <w:sz w:val="20"/>
          <w:szCs w:val="20"/>
          <w:lang w:val="fr-FR"/>
        </w:rPr>
        <w:t>Vidéos</w:t>
      </w:r>
      <w:r w:rsidRPr="00E06028">
        <w:rPr>
          <w:rFonts w:ascii="Noto Sans" w:hAnsi="Noto Sans" w:cs="Noto Sans"/>
          <w:sz w:val="20"/>
          <w:szCs w:val="20"/>
        </w:rPr>
        <w:br/>
      </w:r>
      <w:r w:rsidRPr="00E06028">
        <w:rPr>
          <w:rFonts w:ascii="Noto Sans" w:hAnsi="Noto Sans" w:cs="Noto Sans"/>
          <w:sz w:val="20"/>
          <w:szCs w:val="20"/>
          <w:lang w:val="fr-FR"/>
        </w:rPr>
        <w:t>Cette vidéo est fournie à des fins illustratives uniquement et peut inclure des options supplémentaires. Les chiffres relatifs à la performance peuvent être obtenus sous des conditions spécifiques ; les performances individuelles peuvent varier. Des erreurs et des temps d’arrêt peuvent survenir sur les chaînes de production. Rien dans la présente vidéo ne saurait faire partie d'un contrat entre vous et Domino.</w:t>
      </w:r>
      <w:r w:rsidRPr="00E06028">
        <w:rPr>
          <w:rFonts w:ascii="Noto Sans" w:hAnsi="Noto Sans" w:cs="Noto Sans"/>
          <w:sz w:val="20"/>
          <w:szCs w:val="20"/>
          <w:lang w:val="es-ES"/>
        </w:rPr>
        <w:br/>
      </w:r>
      <w:r w:rsidRPr="00E06028">
        <w:rPr>
          <w:rFonts w:ascii="Noto Sans" w:eastAsia="Gill Sans" w:hAnsi="Noto Sans" w:cs="Noto Sans"/>
          <w:sz w:val="20"/>
          <w:szCs w:val="20"/>
          <w:lang w:val="es-ES"/>
        </w:rPr>
        <w:br/>
      </w:r>
      <w:bookmarkStart w:id="1" w:name="_Hlk61949672"/>
      <w:r w:rsidRPr="00E06028">
        <w:rPr>
          <w:rFonts w:ascii="Noto Sans" w:eastAsia="Gill Sans" w:hAnsi="Noto Sans" w:cs="Noto Sans"/>
          <w:b/>
          <w:sz w:val="20"/>
          <w:szCs w:val="20"/>
          <w:lang w:val="es-ES"/>
        </w:rPr>
        <w:br/>
      </w:r>
      <w:r w:rsidRPr="00E06028">
        <w:rPr>
          <w:rFonts w:ascii="Noto Sans" w:eastAsia="Gill Sans" w:hAnsi="Noto Sans" w:cs="Noto Sans"/>
          <w:b/>
          <w:bCs/>
          <w:sz w:val="20"/>
          <w:szCs w:val="20"/>
          <w:lang w:val="fr-FR"/>
        </w:rPr>
        <w:t>Notes à l'attention des rédacteurs :</w:t>
      </w:r>
      <w:r w:rsidRPr="00E06028">
        <w:rPr>
          <w:rFonts w:ascii="Noto Sans" w:eastAsia="Gill Sans" w:hAnsi="Noto Sans" w:cs="Noto Sans"/>
          <w:b/>
          <w:sz w:val="20"/>
          <w:szCs w:val="20"/>
          <w:lang w:val="es-ES"/>
        </w:rPr>
        <w:br/>
      </w:r>
      <w:r w:rsidRPr="00E06028">
        <w:rPr>
          <w:rFonts w:ascii="Noto Sans" w:eastAsia="Gill Sans" w:hAnsi="Noto Sans" w:cs="Noto Sans"/>
          <w:sz w:val="20"/>
          <w:szCs w:val="20"/>
          <w:lang w:val="es-ES"/>
        </w:rPr>
        <w:br/>
      </w:r>
      <w:r w:rsidRPr="00E06028">
        <w:rPr>
          <w:rFonts w:ascii="Noto Sans" w:eastAsia="Gill Sans" w:hAnsi="Noto Sans" w:cs="Noto Sans"/>
          <w:b/>
          <w:bCs/>
          <w:sz w:val="20"/>
          <w:szCs w:val="20"/>
          <w:lang w:val="fr-FR"/>
        </w:rPr>
        <w:t>À propos de Domino</w:t>
      </w:r>
      <w:r w:rsidRPr="00E06028">
        <w:rPr>
          <w:rFonts w:ascii="Noto Sans" w:eastAsia="Gill Sans" w:hAnsi="Noto Sans" w:cs="Noto Sans"/>
          <w:b/>
          <w:sz w:val="20"/>
          <w:szCs w:val="20"/>
          <w:lang w:val="es-ES"/>
        </w:rPr>
        <w:br/>
      </w:r>
      <w:r w:rsidRPr="00E06028">
        <w:rPr>
          <w:rFonts w:ascii="Noto Sans" w:eastAsia="Gill Sans" w:hAnsi="Noto Sans" w:cs="Noto Sans"/>
          <w:sz w:val="20"/>
          <w:szCs w:val="20"/>
          <w:lang w:val="es-ES"/>
        </w:rPr>
        <w:br/>
      </w:r>
      <w:r w:rsidRPr="00E06028">
        <w:rPr>
          <w:rFonts w:ascii="Noto Sans" w:eastAsia="Gill Sans" w:hAnsi="Noto Sans" w:cs="Noto Sans"/>
          <w:sz w:val="20"/>
          <w:szCs w:val="20"/>
          <w:lang w:val="fr-FR"/>
        </w:rPr>
        <w:t xml:space="preserve">Fondée en 1978, Domino Printing Sciences (Domino) a acquis une réputation mondiale pour le développement et la fabrication de technologies de codage, de marquage et d'impression numérique, ainsi que pour la qualité de son service après-vente à l'international. Aujourd'hui, Domino propose l'un des portefeuilles les plus complets de solutions intégrales de codage afin de répondre aux exigences de conformité et de productivité des fabricants à travers de nombreux secteurs, notamment l'agroalimentaire, les boissons, et les produits pharmaceutiques et industriels. Les technologies de base de l'entreprise incluent des systèmes innovants comme le jet d'encre, le laser, l’impression-pose d’étiquettes et le codage transfert </w:t>
      </w:r>
      <w:r w:rsidRPr="00E06028">
        <w:rPr>
          <w:rFonts w:ascii="Noto Sans" w:eastAsia="Gill Sans" w:hAnsi="Noto Sans" w:cs="Noto Sans"/>
          <w:sz w:val="20"/>
          <w:szCs w:val="20"/>
          <w:lang w:val="fr-FR"/>
        </w:rPr>
        <w:lastRenderedPageBreak/>
        <w:t xml:space="preserve">thermique conçus pour l'application de données variables, de codes à barres et de codes de traçabilité uniques sur les produits et les emballages. </w:t>
      </w:r>
      <w:r w:rsidRPr="00E06028">
        <w:rPr>
          <w:rFonts w:ascii="Noto Sans" w:eastAsia="Gill Sans" w:hAnsi="Noto Sans" w:cs="Noto Sans"/>
          <w:sz w:val="20"/>
          <w:szCs w:val="20"/>
          <w:lang w:val="fr-FR"/>
        </w:rPr>
        <w:br/>
      </w:r>
      <w:r w:rsidRPr="00E06028">
        <w:rPr>
          <w:rFonts w:ascii="Noto Sans" w:eastAsia="Gill Sans" w:hAnsi="Noto Sans" w:cs="Noto Sans"/>
          <w:sz w:val="20"/>
          <w:szCs w:val="20"/>
          <w:lang w:val="fr-FR"/>
        </w:rPr>
        <w:br/>
        <w:t>Domino emploie plus de 3 000 personnes à travers le monde et ses produits sont vendus dans plus de 120 pays grâce à un réseau mondial de 29 filiales et de plus de 200 distributeurs. Domino possède des sites de production en Allemagne, en Chine, aux États-Unis, en Inde, au Royaume-Uni, en Suède et en Suisse.</w:t>
      </w:r>
      <w:r w:rsidRPr="00E06028">
        <w:rPr>
          <w:rFonts w:ascii="Noto Sans" w:eastAsia="Gill Sans" w:hAnsi="Noto Sans" w:cs="Noto Sans"/>
          <w:sz w:val="20"/>
          <w:szCs w:val="20"/>
          <w:lang w:val="fr-FR"/>
        </w:rPr>
        <w:br/>
      </w:r>
      <w:r w:rsidRPr="00E06028">
        <w:rPr>
          <w:rFonts w:ascii="Noto Sans" w:eastAsia="Gill Sans" w:hAnsi="Noto Sans" w:cs="Noto Sans"/>
          <w:sz w:val="20"/>
          <w:szCs w:val="20"/>
          <w:lang w:val="fr-FR"/>
        </w:rPr>
        <w:br/>
        <w:t xml:space="preserve">Depuis le 11 juin 2015, Domino est une division autonome de Brother Industries Ltd. </w:t>
      </w:r>
      <w:r w:rsidRPr="00E06028">
        <w:rPr>
          <w:rFonts w:ascii="Noto Sans" w:eastAsia="Gill Sans" w:hAnsi="Noto Sans" w:cs="Noto Sans"/>
          <w:sz w:val="20"/>
          <w:szCs w:val="20"/>
          <w:lang w:val="fr-FR"/>
        </w:rPr>
        <w:br/>
      </w:r>
      <w:r w:rsidRPr="00E06028">
        <w:rPr>
          <w:rFonts w:ascii="Noto Sans" w:eastAsia="Gill Sans" w:hAnsi="Noto Sans" w:cs="Noto Sans"/>
          <w:sz w:val="20"/>
          <w:szCs w:val="20"/>
          <w:lang w:val="fr-FR"/>
        </w:rPr>
        <w:br/>
        <w:t xml:space="preserve">Pour plus d'informations sur Domino, veuillez consulter </w:t>
      </w:r>
      <w:hyperlink r:id="rId10" w:history="1">
        <w:r w:rsidRPr="00E06028">
          <w:rPr>
            <w:rStyle w:val="Hyperlink"/>
            <w:rFonts w:ascii="Noto Sans" w:eastAsia="Gill Sans" w:hAnsi="Noto Sans" w:cs="Noto Sans"/>
            <w:sz w:val="20"/>
            <w:szCs w:val="20"/>
            <w:lang w:val="fr-FR"/>
          </w:rPr>
          <w:t>www.domino-printing.com</w:t>
        </w:r>
      </w:hyperlink>
      <w:r w:rsidRPr="00E06028">
        <w:rPr>
          <w:rFonts w:ascii="Noto Sans" w:eastAsia="Gill Sans" w:hAnsi="Noto Sans" w:cs="Noto Sans"/>
          <w:sz w:val="20"/>
          <w:szCs w:val="20"/>
          <w:lang w:val="fr-FR"/>
        </w:rPr>
        <w:t xml:space="preserve"> </w:t>
      </w:r>
      <w:r w:rsidRPr="00E06028">
        <w:rPr>
          <w:rFonts w:ascii="Noto Sans" w:eastAsia="Gill Sans" w:hAnsi="Noto Sans" w:cs="Noto Sans"/>
          <w:sz w:val="20"/>
          <w:szCs w:val="20"/>
          <w:lang w:val="fr-FR"/>
        </w:rPr>
        <w:br/>
      </w:r>
      <w:r w:rsidRPr="00E06028">
        <w:rPr>
          <w:rFonts w:ascii="Noto Sans" w:eastAsia="Gill Sans" w:hAnsi="Noto Sans" w:cs="Noto Sans"/>
          <w:sz w:val="20"/>
          <w:szCs w:val="20"/>
          <w:lang w:val="fr-FR"/>
        </w:rPr>
        <w:br/>
      </w:r>
      <w:r w:rsidRPr="00E06028">
        <w:rPr>
          <w:rFonts w:ascii="Noto Sans" w:eastAsia="Gill Sans" w:hAnsi="Noto Sans" w:cs="Noto Sans"/>
          <w:b/>
          <w:bCs/>
          <w:sz w:val="20"/>
          <w:szCs w:val="20"/>
          <w:lang w:val="fr-FR"/>
        </w:rPr>
        <w:t>Pour de plus amples renseignements, veuillez contacter :</w:t>
      </w:r>
      <w:r w:rsidRPr="00E06028">
        <w:rPr>
          <w:rFonts w:ascii="Noto Sans" w:eastAsia="Gill Sans" w:hAnsi="Noto Sans" w:cs="Noto Sans"/>
          <w:b/>
          <w:sz w:val="20"/>
          <w:szCs w:val="20"/>
          <w:lang w:val="fr-FR"/>
        </w:rPr>
        <w:br/>
      </w:r>
      <w:r w:rsidRPr="00E06028">
        <w:rPr>
          <w:rFonts w:ascii="Noto Sans" w:eastAsia="Gill Sans" w:hAnsi="Noto Sans" w:cs="Noto Sans"/>
          <w:b/>
          <w:sz w:val="20"/>
          <w:szCs w:val="20"/>
          <w:lang w:val="fr-FR"/>
        </w:rPr>
        <w:br/>
      </w:r>
      <w:r>
        <w:rPr>
          <w:rFonts w:ascii="Noto Sans" w:hAnsi="Noto Sans" w:cs="Noto Sans"/>
          <w:sz w:val="20"/>
          <w:szCs w:val="20"/>
          <w:lang w:val="nl"/>
        </w:rPr>
        <w:t>Alex Challinor</w:t>
      </w:r>
      <w:r w:rsidRPr="00E06028">
        <w:rPr>
          <w:rFonts w:ascii="Noto Sans" w:hAnsi="Noto Sans" w:cs="Noto Sans"/>
          <w:sz w:val="20"/>
          <w:szCs w:val="20"/>
          <w:lang w:val="fr-FR"/>
        </w:rPr>
        <w:br/>
        <w:t xml:space="preserve">Spécialiste en contenu rédactionnel </w:t>
      </w:r>
      <w:r w:rsidRPr="00E06028">
        <w:rPr>
          <w:rFonts w:ascii="Noto Sans" w:hAnsi="Noto Sans" w:cs="Noto Sans"/>
          <w:sz w:val="20"/>
          <w:szCs w:val="20"/>
          <w:lang w:val="fr-FR"/>
        </w:rPr>
        <w:br/>
        <w:t xml:space="preserve">Domino Printing Sciences </w:t>
      </w:r>
      <w:r w:rsidRPr="00E06028">
        <w:rPr>
          <w:rFonts w:ascii="Noto Sans" w:hAnsi="Noto Sans" w:cs="Noto Sans"/>
          <w:sz w:val="20"/>
          <w:szCs w:val="20"/>
          <w:lang w:val="fr-FR"/>
        </w:rPr>
        <w:br/>
        <w:t>Tél. : +44 (0) 1954 778780</w:t>
      </w:r>
      <w:r w:rsidRPr="00E06028">
        <w:rPr>
          <w:rFonts w:ascii="Noto Sans" w:hAnsi="Noto Sans" w:cs="Noto Sans"/>
          <w:sz w:val="20"/>
          <w:szCs w:val="20"/>
          <w:lang w:val="fr-FR"/>
        </w:rPr>
        <w:br/>
      </w:r>
      <w:hyperlink r:id="rId11" w:history="1">
        <w:r w:rsidRPr="00BC6306">
          <w:rPr>
            <w:rStyle w:val="Hyperlink"/>
            <w:rFonts w:ascii="Noto Sans" w:hAnsi="Noto Sans" w:cs="Noto Sans"/>
            <w:sz w:val="20"/>
            <w:szCs w:val="20"/>
            <w:lang w:val="fr-FR"/>
          </w:rPr>
          <w:t>Alex.Challinor@domino-uk.com</w:t>
        </w:r>
      </w:hyperlink>
      <w:r w:rsidRPr="00E06028">
        <w:rPr>
          <w:rFonts w:ascii="Noto Sans" w:eastAsia="Verdana" w:hAnsi="Noto Sans" w:cs="Noto Sans"/>
          <w:sz w:val="20"/>
          <w:szCs w:val="20"/>
          <w:lang w:val="fr-FR"/>
        </w:rPr>
        <w:br/>
      </w:r>
      <w:r w:rsidRPr="00E06028">
        <w:rPr>
          <w:rFonts w:ascii="Noto Sans" w:eastAsia="Verdana" w:hAnsi="Noto Sans" w:cs="Noto Sans"/>
          <w:sz w:val="20"/>
          <w:szCs w:val="20"/>
          <w:lang w:val="fr-FR"/>
        </w:rPr>
        <w:br/>
      </w:r>
      <w:bookmarkEnd w:id="0"/>
      <w:bookmarkEnd w:id="1"/>
      <w:r w:rsidRPr="00E06028">
        <w:rPr>
          <w:rFonts w:ascii="Noto Sans" w:hAnsi="Noto Sans" w:cs="Noto Sans"/>
          <w:sz w:val="20"/>
          <w:szCs w:val="20"/>
          <w:lang w:val="fr-FR"/>
        </w:rPr>
        <w:t>Delphine Baudesson</w:t>
      </w:r>
      <w:r w:rsidRPr="00E06028">
        <w:rPr>
          <w:rFonts w:ascii="Noto Sans" w:hAnsi="Noto Sans" w:cs="Noto Sans"/>
          <w:sz w:val="20"/>
          <w:szCs w:val="20"/>
          <w:lang w:val="fr-FR"/>
        </w:rPr>
        <w:br/>
        <w:t xml:space="preserve">Responsable du marketing </w:t>
      </w:r>
      <w:r w:rsidRPr="00E06028">
        <w:rPr>
          <w:rFonts w:ascii="Noto Sans" w:hAnsi="Noto Sans" w:cs="Noto Sans"/>
          <w:sz w:val="20"/>
          <w:szCs w:val="20"/>
          <w:lang w:val="fr-FR"/>
        </w:rPr>
        <w:br/>
        <w:t>Domino Printing Sciences France</w:t>
      </w:r>
      <w:r w:rsidRPr="00E06028">
        <w:rPr>
          <w:rFonts w:ascii="Noto Sans" w:hAnsi="Noto Sans" w:cs="Noto Sans"/>
          <w:sz w:val="20"/>
          <w:szCs w:val="20"/>
          <w:lang w:val="fr-FR"/>
        </w:rPr>
        <w:br/>
        <w:t>Tél. : +33 6 78 58 81 59</w:t>
      </w:r>
      <w:r w:rsidRPr="00E06028">
        <w:rPr>
          <w:rFonts w:ascii="Noto Sans" w:hAnsi="Noto Sans" w:cs="Noto Sans"/>
          <w:sz w:val="20"/>
          <w:szCs w:val="20"/>
          <w:lang w:val="fr-FR"/>
        </w:rPr>
        <w:br/>
      </w:r>
      <w:hyperlink r:id="rId12" w:history="1">
        <w:r w:rsidRPr="00E06028">
          <w:rPr>
            <w:rStyle w:val="Hyperlink"/>
            <w:rFonts w:ascii="Noto Sans" w:hAnsi="Noto Sans" w:cs="Noto Sans"/>
            <w:sz w:val="20"/>
            <w:szCs w:val="20"/>
            <w:lang w:val="fr-FR"/>
          </w:rPr>
          <w:t>delphine.baudesson@domino-marquage.com</w:t>
        </w:r>
      </w:hyperlink>
    </w:p>
    <w:sectPr w:rsidR="005524DB" w:rsidRPr="00BC6306" w:rsidSect="000F6D00">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ED15B" w14:textId="77777777" w:rsidR="009E564D" w:rsidRDefault="009E564D" w:rsidP="00785717">
      <w:pPr>
        <w:spacing w:line="240" w:lineRule="auto"/>
      </w:pPr>
      <w:r>
        <w:separator/>
      </w:r>
    </w:p>
  </w:endnote>
  <w:endnote w:type="continuationSeparator" w:id="0">
    <w:p w14:paraId="1486161E" w14:textId="77777777" w:rsidR="009E564D" w:rsidRDefault="009E564D"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82FF" w:usb1="4000205F" w:usb2="08000029" w:usb3="00000000" w:csb0="0000019F" w:csb1="00000000"/>
  </w:font>
  <w:font w:name="Cambria Math">
    <w:panose1 w:val="02040503050406030204"/>
    <w:charset w:val="00"/>
    <w:family w:val="roman"/>
    <w:pitch w:val="variable"/>
    <w:sig w:usb0="E00006FF" w:usb1="420024FF" w:usb2="02000000" w:usb3="00000000" w:csb0="0000019F" w:csb1="00000000"/>
  </w:font>
  <w:font w:name="Gill Sans">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0F32A" w14:textId="77777777" w:rsidR="00EC1C5A"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523E4" w14:textId="77777777" w:rsidR="00785717" w:rsidRDefault="000F6D00" w:rsidP="00785717">
    <w:pPr>
      <w:pStyle w:val="Footer"/>
    </w:pPr>
    <w:r>
      <w:rPr>
        <w:noProof/>
      </w:rPr>
      <w:drawing>
        <wp:anchor distT="0" distB="0" distL="114300" distR="114300" simplePos="0" relativeHeight="251659264" behindDoc="0" locked="0" layoutInCell="1" allowOverlap="1" wp14:anchorId="5F1A3A08" wp14:editId="0C311E39">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536137F7" wp14:editId="53ACCE9A">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3FA95" w14:textId="77777777" w:rsidR="00EC1C5A"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0F7D1" w14:textId="77777777" w:rsidR="009E564D" w:rsidRDefault="009E564D" w:rsidP="00785717">
      <w:pPr>
        <w:spacing w:line="240" w:lineRule="auto"/>
      </w:pPr>
      <w:r>
        <w:separator/>
      </w:r>
    </w:p>
  </w:footnote>
  <w:footnote w:type="continuationSeparator" w:id="0">
    <w:p w14:paraId="0DC7B38E" w14:textId="77777777" w:rsidR="009E564D" w:rsidRDefault="009E564D"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7E0BA" w14:textId="77777777" w:rsidR="00EC1C5A"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5D583" w14:textId="77777777" w:rsidR="000F6D00" w:rsidRDefault="002766D9">
    <w:pPr>
      <w:pStyle w:val="Header"/>
    </w:pPr>
    <w:r>
      <w:rPr>
        <w:noProof/>
      </w:rPr>
      <w:drawing>
        <wp:anchor distT="0" distB="0" distL="114300" distR="114300" simplePos="0" relativeHeight="251661312" behindDoc="0" locked="0" layoutInCell="1" allowOverlap="1" wp14:anchorId="652D8042" wp14:editId="1D9E5B1D">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1E02A" w14:textId="77777777" w:rsidR="00EC1C5A" w:rsidRDefault="00EC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64D"/>
    <w:rsid w:val="000002AD"/>
    <w:rsid w:val="0002201E"/>
    <w:rsid w:val="000950E0"/>
    <w:rsid w:val="000F6D00"/>
    <w:rsid w:val="00113106"/>
    <w:rsid w:val="001D743C"/>
    <w:rsid w:val="002766D9"/>
    <w:rsid w:val="00285DC3"/>
    <w:rsid w:val="002C3337"/>
    <w:rsid w:val="00372E92"/>
    <w:rsid w:val="005272B1"/>
    <w:rsid w:val="005524DB"/>
    <w:rsid w:val="005741C7"/>
    <w:rsid w:val="00647055"/>
    <w:rsid w:val="00660F46"/>
    <w:rsid w:val="00785717"/>
    <w:rsid w:val="008220B7"/>
    <w:rsid w:val="00823B77"/>
    <w:rsid w:val="008916A8"/>
    <w:rsid w:val="008B6461"/>
    <w:rsid w:val="008F3E38"/>
    <w:rsid w:val="00931996"/>
    <w:rsid w:val="009A1716"/>
    <w:rsid w:val="009A1DEC"/>
    <w:rsid w:val="009B3788"/>
    <w:rsid w:val="009D6280"/>
    <w:rsid w:val="009E564D"/>
    <w:rsid w:val="00A34918"/>
    <w:rsid w:val="00AB11DA"/>
    <w:rsid w:val="00B23C3C"/>
    <w:rsid w:val="00B546C5"/>
    <w:rsid w:val="00BC6306"/>
    <w:rsid w:val="00BC7C15"/>
    <w:rsid w:val="00C063FE"/>
    <w:rsid w:val="00C44603"/>
    <w:rsid w:val="00C541FE"/>
    <w:rsid w:val="00CF1AD5"/>
    <w:rsid w:val="00D03A39"/>
    <w:rsid w:val="00E03029"/>
    <w:rsid w:val="00EC1C5A"/>
    <w:rsid w:val="00F15CB4"/>
    <w:rsid w:val="00F82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75E0C"/>
  <w15:chartTrackingRefBased/>
  <w15:docId w15:val="{C5FE791E-4976-45BD-8795-31D7E3D9B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 w:type="paragraph" w:styleId="CommentText">
    <w:name w:val="annotation text"/>
    <w:basedOn w:val="Normal"/>
    <w:link w:val="CommentTextChar"/>
    <w:uiPriority w:val="99"/>
    <w:unhideWhenUsed/>
    <w:rsid w:val="000002AD"/>
    <w:pPr>
      <w:spacing w:after="160" w:line="240" w:lineRule="auto"/>
    </w:pPr>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0002AD"/>
    <w:rPr>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rdorintelligence.com/industry-reports/digital-printing-packaging-market?"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americanpharmaceuticalreview.com/Featured-Articles/609704-Sustainability-in-Pharmaceutical-Packaging/" TargetMode="External"/><Relationship Id="rId12" Type="http://schemas.openxmlformats.org/officeDocument/2006/relationships/hyperlink" Target="mailto:delphine.baudesson@domino-marquage.com" TargetMode="Externa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domino-printing.com/fr-fr/home.aspx?utm_medium=non-paid&amp;utm_source=onlinepublication&amp;utm_content=global-cm-sb-requalification%20as%20a%20strategic%20opportunity%20for%20sustainable%20pharmaceutical%20packaging-fr&amp;utm_campaign=2026-int-fr-global-pr-cm-fy25-q2" TargetMode="External"/><Relationship Id="rId11" Type="http://schemas.openxmlformats.org/officeDocument/2006/relationships/hyperlink" Target="mailto:Alex.Challinor@domino-uk.com"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www.domino-printing.com"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domino-printing.com/fr-fr/sectors/pharmaceutique?utm_medium=non-paid&amp;utm_source=onlinepublication&amp;utm_content=global-cm-sb-requalification%20as%20a%20strategic%20opportunity%20for%20sustainable%20pharmaceutical%20packaging-fr&amp;utm_campaign=2026-int-fr-global-pr-cm-fy25-q2"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_Taylor-Salazar\AppData\Roaming\Microsoft\Templates\header%20and%20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header and footer</Template>
  <TotalTime>14</TotalTime>
  <Pages>6</Pages>
  <Words>1660</Words>
  <Characters>9466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Taylor-Salazar</dc:creator>
  <cp:keywords/>
  <dc:description/>
  <cp:lastModifiedBy>Rachael Cooper</cp:lastModifiedBy>
  <cp:revision>6</cp:revision>
  <dcterms:created xsi:type="dcterms:W3CDTF">2026-01-09T10:12:00Z</dcterms:created>
  <dcterms:modified xsi:type="dcterms:W3CDTF">2026-01-09T10:33:00Z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de5a96b3-4a54-4452-ab60-993cdb47e4db</vt:lpwstr>
  </property>
</Properties>
</file>