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E06FB4" w14:textId="54087BBD" w:rsidR="00955138" w:rsidRDefault="00000000">
      <w:pPr>
        <w:spacing w:after="0" w:line="269" w:lineRule="auto"/>
        <w:jc w:val="right"/>
        <w:rPr>
          <w:sz w:val="20"/>
          <w:szCs w:val="20"/>
        </w:rPr>
      </w:pPr>
      <w:r>
        <w:rPr>
          <w:sz w:val="20"/>
          <w:szCs w:val="20"/>
        </w:rPr>
        <w:t xml:space="preserve">Piotrków Trybunalski, </w:t>
      </w:r>
      <w:r w:rsidR="00726E4C">
        <w:rPr>
          <w:sz w:val="20"/>
          <w:szCs w:val="20"/>
        </w:rPr>
        <w:t>11</w:t>
      </w:r>
      <w:r>
        <w:rPr>
          <w:sz w:val="20"/>
          <w:szCs w:val="20"/>
        </w:rPr>
        <w:t>.0</w:t>
      </w:r>
      <w:r w:rsidR="00D12DF4">
        <w:rPr>
          <w:sz w:val="20"/>
          <w:szCs w:val="20"/>
        </w:rPr>
        <w:t>3</w:t>
      </w:r>
      <w:r>
        <w:rPr>
          <w:sz w:val="20"/>
          <w:szCs w:val="20"/>
        </w:rPr>
        <w:t>.2026</w:t>
      </w:r>
    </w:p>
    <w:p w14:paraId="4B2A4C38" w14:textId="77777777" w:rsidR="00955138" w:rsidRDefault="00000000">
      <w:pPr>
        <w:jc w:val="both"/>
        <w:rPr>
          <w:b/>
          <w:bCs/>
        </w:rPr>
      </w:pPr>
      <w:r>
        <w:rPr>
          <w:b/>
          <w:bCs/>
        </w:rPr>
        <w:br/>
      </w:r>
    </w:p>
    <w:p w14:paraId="03485A5E" w14:textId="77777777" w:rsidR="00726E4C" w:rsidRDefault="00000000">
      <w:pPr>
        <w:jc w:val="center"/>
        <w:rPr>
          <w:b/>
          <w:bCs/>
          <w:sz w:val="30"/>
          <w:szCs w:val="30"/>
        </w:rPr>
      </w:pPr>
      <w:r>
        <w:rPr>
          <w:b/>
          <w:bCs/>
          <w:sz w:val="30"/>
          <w:szCs w:val="30"/>
        </w:rPr>
        <w:t>Telekomunikacja</w:t>
      </w:r>
      <w:r w:rsidR="00B03506">
        <w:rPr>
          <w:b/>
          <w:bCs/>
          <w:sz w:val="30"/>
          <w:szCs w:val="30"/>
        </w:rPr>
        <w:t>,</w:t>
      </w:r>
      <w:r>
        <w:rPr>
          <w:b/>
          <w:bCs/>
          <w:sz w:val="30"/>
          <w:szCs w:val="30"/>
        </w:rPr>
        <w:t xml:space="preserve"> </w:t>
      </w:r>
      <w:r w:rsidR="00B03506">
        <w:rPr>
          <w:b/>
          <w:bCs/>
          <w:sz w:val="30"/>
          <w:szCs w:val="30"/>
        </w:rPr>
        <w:t>b</w:t>
      </w:r>
      <w:r>
        <w:rPr>
          <w:b/>
          <w:bCs/>
          <w:sz w:val="30"/>
          <w:szCs w:val="30"/>
        </w:rPr>
        <w:t xml:space="preserve">anki i fundacje </w:t>
      </w:r>
      <w:r w:rsidR="00B03506">
        <w:rPr>
          <w:b/>
          <w:bCs/>
          <w:sz w:val="30"/>
          <w:szCs w:val="30"/>
        </w:rPr>
        <w:t>największymi nadawcami</w:t>
      </w:r>
      <w:r>
        <w:rPr>
          <w:b/>
          <w:bCs/>
          <w:sz w:val="30"/>
          <w:szCs w:val="30"/>
        </w:rPr>
        <w:t xml:space="preserve"> korespondencji listowej</w:t>
      </w:r>
    </w:p>
    <w:p w14:paraId="30BAD58A" w14:textId="32EC3A66" w:rsidR="00955138" w:rsidRDefault="00726E4C">
      <w:pPr>
        <w:jc w:val="center"/>
        <w:rPr>
          <w:b/>
          <w:bCs/>
          <w:sz w:val="28"/>
          <w:szCs w:val="28"/>
        </w:rPr>
      </w:pPr>
      <w:r>
        <w:rPr>
          <w:b/>
          <w:bCs/>
          <w:noProof/>
          <w:sz w:val="30"/>
          <w:szCs w:val="30"/>
        </w:rPr>
        <w:drawing>
          <wp:inline distT="0" distB="0" distL="0" distR="0" wp14:anchorId="36A38393" wp14:editId="647FDE7F">
            <wp:extent cx="5753100" cy="3838575"/>
            <wp:effectExtent l="0" t="0" r="0" b="9525"/>
            <wp:docPr id="59533175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r w:rsidR="00000000">
        <w:rPr>
          <w:b/>
          <w:bCs/>
          <w:sz w:val="28"/>
          <w:szCs w:val="28"/>
        </w:rPr>
        <w:br/>
      </w:r>
    </w:p>
    <w:p w14:paraId="0A9ED6C5" w14:textId="77777777" w:rsidR="00955138" w:rsidRDefault="00000000">
      <w:pPr>
        <w:jc w:val="both"/>
        <w:rPr>
          <w:b/>
          <w:bCs/>
          <w:sz w:val="28"/>
          <w:szCs w:val="28"/>
        </w:rPr>
      </w:pPr>
      <w:r>
        <w:rPr>
          <w:b/>
          <w:bCs/>
          <w:sz w:val="28"/>
          <w:szCs w:val="28"/>
        </w:rPr>
        <w:t>Mimo postępującej cyfryzacji i coraz powszechniejszego przechodzenia firm na komunikację elektroniczną, tradycyjne przesyłki listowe nie tracą na znaczeniu we wszystkich obszarach rynku. Dane niezależnego operatora pocztowego Speedmail pokazują, że papierowa korespondencja wciąż pełni istotną rolę w wybranych sektorach gospodarki. Analiza struktury wolumenów za ostatni rok wskazuje, że największą liczbę wysyłanych listów generuje branża telekomunikacyjna, a tuż za nią plasują się sektor bankowo-finansowy oraz fundacje.</w:t>
      </w:r>
    </w:p>
    <w:p w14:paraId="0AA1E98F" w14:textId="112F4062" w:rsidR="00955138" w:rsidRDefault="00000000">
      <w:pPr>
        <w:spacing w:before="240" w:after="240"/>
        <w:jc w:val="both"/>
        <w:rPr>
          <w:sz w:val="26"/>
          <w:szCs w:val="26"/>
        </w:rPr>
      </w:pPr>
      <w:r>
        <w:rPr>
          <w:sz w:val="26"/>
          <w:szCs w:val="26"/>
        </w:rPr>
        <w:t xml:space="preserve">Z danych Speedmail wynika, że w 2025 roku branża telekomunikacyjna odpowiadała za niemal 22 proc. całkowitego wolumenu przesyłek listowych, co czyni ją liderem pod </w:t>
      </w:r>
      <w:r>
        <w:rPr>
          <w:sz w:val="26"/>
          <w:szCs w:val="26"/>
        </w:rPr>
        <w:lastRenderedPageBreak/>
        <w:t>względem liczby nadawanych listów. To wyraźny sygnał, że mimo rosnącej popularności e-faktur i e-korespondencji, operatorzy telekomunikacyjni wciąż w dużej mierze opierają się na papierowej formie komunikacji — zwłaszcza w obszarach takich jak rozliczenia, informacje regulacyjne</w:t>
      </w:r>
      <w:r w:rsidR="00B03506">
        <w:rPr>
          <w:sz w:val="26"/>
          <w:szCs w:val="26"/>
        </w:rPr>
        <w:t xml:space="preserve"> czy marketing</w:t>
      </w:r>
      <w:r>
        <w:rPr>
          <w:sz w:val="26"/>
          <w:szCs w:val="26"/>
        </w:rPr>
        <w:t>.</w:t>
      </w:r>
    </w:p>
    <w:p w14:paraId="0089C9F3" w14:textId="77777777" w:rsidR="00955138" w:rsidRDefault="00000000">
      <w:pPr>
        <w:spacing w:before="240" w:after="240"/>
        <w:jc w:val="both"/>
        <w:rPr>
          <w:sz w:val="26"/>
          <w:szCs w:val="26"/>
        </w:rPr>
      </w:pPr>
      <w:r>
        <w:rPr>
          <w:sz w:val="26"/>
          <w:szCs w:val="26"/>
        </w:rPr>
        <w:t xml:space="preserve">— </w:t>
      </w:r>
      <w:r>
        <w:rPr>
          <w:i/>
          <w:iCs/>
          <w:sz w:val="26"/>
          <w:szCs w:val="26"/>
        </w:rPr>
        <w:t>Telekomunikacja to dziś sektor, w którym tradycyjna korespondencja pozostaje jednym z kluczowych kanałów kontaktu z klientem. Wynika to zarówno z obowiązków formalnych, jak i z potrzeby zapewnienia skutecznego dotarcia do odbiorcy</w:t>
      </w:r>
      <w:r>
        <w:rPr>
          <w:sz w:val="26"/>
          <w:szCs w:val="26"/>
        </w:rPr>
        <w:t xml:space="preserve"> — komentuje</w:t>
      </w:r>
      <w:r>
        <w:rPr>
          <w:b/>
          <w:bCs/>
          <w:sz w:val="26"/>
          <w:szCs w:val="26"/>
        </w:rPr>
        <w:t xml:space="preserve"> Janusz Konopka, Prezes Zarządu Speedmail.</w:t>
      </w:r>
    </w:p>
    <w:p w14:paraId="41152F31" w14:textId="77777777" w:rsidR="00955138" w:rsidRDefault="00000000">
      <w:pPr>
        <w:pStyle w:val="Nagwek3"/>
        <w:keepNext w:val="0"/>
        <w:keepLines w:val="0"/>
        <w:jc w:val="both"/>
        <w:rPr>
          <w:sz w:val="26"/>
          <w:szCs w:val="26"/>
        </w:rPr>
      </w:pPr>
      <w:bookmarkStart w:id="0" w:name="_heading=h.iplgsllf0gb" w:colFirst="0" w:colLast="0"/>
      <w:bookmarkEnd w:id="0"/>
      <w:r>
        <w:rPr>
          <w:sz w:val="26"/>
          <w:szCs w:val="26"/>
        </w:rPr>
        <w:t>Bankowość i finanse stabilnie na drugim miejscu</w:t>
      </w:r>
    </w:p>
    <w:p w14:paraId="5CFA5AC6" w14:textId="77777777" w:rsidR="00D12DF4" w:rsidRDefault="00D12DF4">
      <w:pPr>
        <w:spacing w:before="240" w:after="240"/>
        <w:jc w:val="both"/>
        <w:rPr>
          <w:sz w:val="26"/>
          <w:szCs w:val="26"/>
        </w:rPr>
      </w:pPr>
      <w:r w:rsidRPr="00D12DF4">
        <w:rPr>
          <w:sz w:val="26"/>
          <w:szCs w:val="26"/>
        </w:rPr>
        <w:t>Drugą pozycję w strukturze wolumenów zajmuje sektor bankowo-finansowy, który odpowiada za ponad 20 proc. wszystkich nadanych przesyłek. Jednocześnie branża ta generuje ponad 16 proc. wartości sprzedaży, co potwierdza jej strategiczne znaczenie dla rynku usług pocztowych. Podobnie jak w roku ubiegłym, to właśnie sektor bankowo-finansowy utrzymuje drugie miejsce pod względem wolumenu nadań. W bieżącej strukturze banki i instytucje finansowe odpowiadają za większą część przesyłek</w:t>
      </w:r>
      <w:r>
        <w:rPr>
          <w:sz w:val="26"/>
          <w:szCs w:val="26"/>
        </w:rPr>
        <w:t>.</w:t>
      </w:r>
    </w:p>
    <w:p w14:paraId="3EBD08B9" w14:textId="0FC03D3F" w:rsidR="00955138" w:rsidRDefault="00000000">
      <w:pPr>
        <w:spacing w:before="240" w:after="240"/>
        <w:jc w:val="both"/>
        <w:rPr>
          <w:b/>
          <w:bCs/>
          <w:sz w:val="26"/>
          <w:szCs w:val="26"/>
        </w:rPr>
      </w:pPr>
      <w:r>
        <w:rPr>
          <w:i/>
          <w:iCs/>
          <w:sz w:val="26"/>
          <w:szCs w:val="26"/>
        </w:rPr>
        <w:t xml:space="preserve">— Banki i instytucje finansowe nadal masowo wysyłają dokumenty wymagające trwałej formy — m.in. wyciągi, potwierdzenia transakcji, zmiany regulaminów czy korespondencję o charakterze formalno-prawnym. W przypadku sektora bankowego i finansowego papierowa korespondencja bardzo często nie jest wyborem, lecz koniecznością wynikającą z regulacji i wymogów bezpieczeństwa — </w:t>
      </w:r>
      <w:r>
        <w:rPr>
          <w:sz w:val="26"/>
          <w:szCs w:val="26"/>
        </w:rPr>
        <w:t xml:space="preserve">dodaje </w:t>
      </w:r>
      <w:r>
        <w:rPr>
          <w:b/>
          <w:bCs/>
          <w:sz w:val="26"/>
          <w:szCs w:val="26"/>
        </w:rPr>
        <w:t>Janusz Konopka.</w:t>
      </w:r>
    </w:p>
    <w:p w14:paraId="75047F3D" w14:textId="77777777" w:rsidR="00955138" w:rsidRDefault="00000000">
      <w:pPr>
        <w:spacing w:before="240" w:after="240"/>
        <w:jc w:val="both"/>
        <w:rPr>
          <w:b/>
          <w:bCs/>
          <w:sz w:val="26"/>
          <w:szCs w:val="26"/>
        </w:rPr>
      </w:pPr>
      <w:r>
        <w:rPr>
          <w:b/>
          <w:bCs/>
          <w:sz w:val="26"/>
          <w:szCs w:val="26"/>
        </w:rPr>
        <w:t>Fundacje w czołówce nadawców</w:t>
      </w:r>
    </w:p>
    <w:p w14:paraId="489245CA" w14:textId="58D312AB" w:rsidR="00955138" w:rsidRDefault="00000000">
      <w:pPr>
        <w:spacing w:before="240" w:after="240"/>
        <w:jc w:val="both"/>
        <w:rPr>
          <w:sz w:val="26"/>
          <w:szCs w:val="26"/>
          <w:highlight w:val="white"/>
        </w:rPr>
      </w:pPr>
      <w:r>
        <w:rPr>
          <w:sz w:val="26"/>
          <w:szCs w:val="26"/>
          <w:highlight w:val="white"/>
        </w:rPr>
        <w:t xml:space="preserve">Na trzecim miejscu pod względem wolumenu uplasowały się fundacje, które odpowiadają za blisko 18 proc. wolumenu przesyłek. To jeden z najbardziej wyrazistych sygnałów zmian w strukturze nadawców. </w:t>
      </w:r>
      <w:r w:rsidR="003732AE">
        <w:rPr>
          <w:sz w:val="26"/>
          <w:szCs w:val="26"/>
          <w:highlight w:val="white"/>
        </w:rPr>
        <w:t>W</w:t>
      </w:r>
      <w:r>
        <w:rPr>
          <w:sz w:val="26"/>
          <w:szCs w:val="26"/>
          <w:highlight w:val="white"/>
        </w:rPr>
        <w:t xml:space="preserve"> 2024 roku </w:t>
      </w:r>
      <w:r w:rsidR="003732AE">
        <w:rPr>
          <w:sz w:val="26"/>
          <w:szCs w:val="26"/>
          <w:highlight w:val="white"/>
        </w:rPr>
        <w:t>ten segment rynku</w:t>
      </w:r>
      <w:r>
        <w:rPr>
          <w:sz w:val="26"/>
          <w:szCs w:val="26"/>
          <w:highlight w:val="white"/>
        </w:rPr>
        <w:t xml:space="preserve"> generował jedynie około 5 proc. wolumenu przesyłek </w:t>
      </w:r>
      <w:r w:rsidR="003732AE">
        <w:rPr>
          <w:sz w:val="26"/>
          <w:szCs w:val="26"/>
          <w:highlight w:val="white"/>
        </w:rPr>
        <w:t xml:space="preserve">obsługiwanych </w:t>
      </w:r>
      <w:r>
        <w:rPr>
          <w:sz w:val="26"/>
          <w:szCs w:val="26"/>
          <w:highlight w:val="white"/>
        </w:rPr>
        <w:t xml:space="preserve">przez Speedmail. Organizacje pozarządowe </w:t>
      </w:r>
      <w:r w:rsidR="003732AE">
        <w:rPr>
          <w:sz w:val="26"/>
          <w:szCs w:val="26"/>
          <w:highlight w:val="white"/>
        </w:rPr>
        <w:t>od zawsze dostrzega</w:t>
      </w:r>
      <w:r w:rsidR="00D12DF4">
        <w:rPr>
          <w:sz w:val="26"/>
          <w:szCs w:val="26"/>
          <w:highlight w:val="white"/>
        </w:rPr>
        <w:t>ł</w:t>
      </w:r>
      <w:r w:rsidR="003732AE">
        <w:rPr>
          <w:sz w:val="26"/>
          <w:szCs w:val="26"/>
          <w:highlight w:val="white"/>
        </w:rPr>
        <w:t>y skuteczność</w:t>
      </w:r>
      <w:r>
        <w:rPr>
          <w:sz w:val="26"/>
          <w:szCs w:val="26"/>
          <w:highlight w:val="white"/>
        </w:rPr>
        <w:t xml:space="preserve"> tradycyjn</w:t>
      </w:r>
      <w:r w:rsidR="003732AE">
        <w:rPr>
          <w:sz w:val="26"/>
          <w:szCs w:val="26"/>
          <w:highlight w:val="white"/>
        </w:rPr>
        <w:t>ej</w:t>
      </w:r>
      <w:r>
        <w:rPr>
          <w:sz w:val="26"/>
          <w:szCs w:val="26"/>
          <w:highlight w:val="white"/>
        </w:rPr>
        <w:t xml:space="preserve"> korespondencj</w:t>
      </w:r>
      <w:r w:rsidR="003732AE">
        <w:rPr>
          <w:sz w:val="26"/>
          <w:szCs w:val="26"/>
          <w:highlight w:val="white"/>
        </w:rPr>
        <w:t>i</w:t>
      </w:r>
      <w:r>
        <w:rPr>
          <w:sz w:val="26"/>
          <w:szCs w:val="26"/>
          <w:highlight w:val="white"/>
        </w:rPr>
        <w:t xml:space="preserve"> w działaniach fundraisingowych, informacyjnych oraz sprawozdawczych, traktując list jako wiarygodne narzędzie komunikacji.</w:t>
      </w:r>
    </w:p>
    <w:p w14:paraId="53004DEE" w14:textId="77777777" w:rsidR="00955138" w:rsidRDefault="00000000">
      <w:pPr>
        <w:spacing w:before="240" w:after="240"/>
        <w:jc w:val="both"/>
        <w:rPr>
          <w:sz w:val="26"/>
          <w:szCs w:val="26"/>
        </w:rPr>
      </w:pPr>
      <w:r>
        <w:rPr>
          <w:sz w:val="26"/>
          <w:szCs w:val="26"/>
        </w:rPr>
        <w:lastRenderedPageBreak/>
        <w:t>Na przeciwległym biegunie znalazły się branże o najniższym udziale w wolumenie przesyłek listowych. Do sektorów, w których tradycyjna korespondencja wykorzystywana jest w najmniejszym stopniu, należą branża medyczna oraz e-commerce.</w:t>
      </w:r>
    </w:p>
    <w:p w14:paraId="4DBA87F0" w14:textId="77777777" w:rsidR="00955138" w:rsidRDefault="00000000">
      <w:pPr>
        <w:pStyle w:val="Nagwek3"/>
        <w:keepNext w:val="0"/>
        <w:keepLines w:val="0"/>
        <w:jc w:val="both"/>
        <w:rPr>
          <w:sz w:val="26"/>
          <w:szCs w:val="26"/>
        </w:rPr>
      </w:pPr>
      <w:bookmarkStart w:id="1" w:name="_heading=h.oprha8dapfus" w:colFirst="0" w:colLast="0"/>
      <w:bookmarkEnd w:id="1"/>
      <w:r>
        <w:rPr>
          <w:sz w:val="26"/>
          <w:szCs w:val="26"/>
        </w:rPr>
        <w:t>Dominacja listów zwykłych i marketingowych</w:t>
      </w:r>
    </w:p>
    <w:p w14:paraId="07FDF249" w14:textId="77777777" w:rsidR="00955138" w:rsidRDefault="00000000">
      <w:pPr>
        <w:spacing w:before="240" w:after="240"/>
        <w:jc w:val="both"/>
        <w:rPr>
          <w:sz w:val="26"/>
          <w:szCs w:val="26"/>
        </w:rPr>
      </w:pPr>
      <w:r>
        <w:rPr>
          <w:sz w:val="26"/>
          <w:szCs w:val="26"/>
        </w:rPr>
        <w:t>Przyglądając się ogólnej strukturze nadawanych przesyłek, wyraźnie widać, jaki charakter ma współczesna korespondencja masowa. Dominującą rolę odgrywają przesyłki listowe zwykłe, które stanowią ponad 60 proc. całkowitego wolumenu. To właśnie w tej formie najczęściej przesyłane są faktury, rozliczenia czy informacje regulacyjne.</w:t>
      </w:r>
    </w:p>
    <w:p w14:paraId="344483CE" w14:textId="77777777" w:rsidR="00955138" w:rsidRDefault="00000000">
      <w:pPr>
        <w:spacing w:before="240" w:after="240"/>
        <w:jc w:val="both"/>
        <w:rPr>
          <w:sz w:val="26"/>
          <w:szCs w:val="26"/>
        </w:rPr>
      </w:pPr>
      <w:r>
        <w:rPr>
          <w:sz w:val="26"/>
          <w:szCs w:val="26"/>
        </w:rPr>
        <w:t>Istotny udział mają również przesyłki marketingowe (blisko 35 proc), co potwierdza, że papierowy list pozostaje skutecznym narzędziem reklamowym. Najmniejszy odsetek, wynoszący prawie 5 proc., stanowią przesyłki listowe polecone, co sugeruje, że tradycyjna „polecona” forma zarezerwowana jest głównie dla kluczowych dokumentów prawnych i administracyjnych</w:t>
      </w:r>
    </w:p>
    <w:p w14:paraId="438152E6" w14:textId="77777777" w:rsidR="00955138" w:rsidRDefault="00000000">
      <w:pPr>
        <w:pStyle w:val="Nagwek3"/>
        <w:keepNext w:val="0"/>
        <w:keepLines w:val="0"/>
        <w:jc w:val="both"/>
        <w:rPr>
          <w:sz w:val="26"/>
          <w:szCs w:val="26"/>
        </w:rPr>
      </w:pPr>
      <w:bookmarkStart w:id="2" w:name="_heading=h.hnc39j2ut890" w:colFirst="0" w:colLast="0"/>
      <w:bookmarkEnd w:id="2"/>
      <w:r>
        <w:rPr>
          <w:sz w:val="26"/>
          <w:szCs w:val="26"/>
        </w:rPr>
        <w:t>Zmiany w strukturze wolumenów</w:t>
      </w:r>
    </w:p>
    <w:p w14:paraId="53560BF5" w14:textId="77777777" w:rsidR="00955138" w:rsidRDefault="00000000">
      <w:pPr>
        <w:spacing w:before="240" w:after="240"/>
        <w:jc w:val="both"/>
        <w:rPr>
          <w:sz w:val="26"/>
          <w:szCs w:val="26"/>
        </w:rPr>
      </w:pPr>
      <w:r>
        <w:rPr>
          <w:sz w:val="26"/>
          <w:szCs w:val="26"/>
        </w:rPr>
        <w:t>Analiza relacji pomiędzy wolumenem przesyłek a wartością sprzedaży pokazuje wyraźne zróżnicowanie pomiędzy poszczególnymi segmentami rynku. Szczególnie widoczne jest to w przypadku administracji publicznej, gdzie relatywnie mniejsza liczba przesyłek przekłada się na istotny udział w wartości realizowanych usług. Wskazuje to na wysoki stopień sformalizowania korespondencji oraz większą złożoność procesów obsługowych.</w:t>
      </w:r>
    </w:p>
    <w:p w14:paraId="27159E02" w14:textId="77777777" w:rsidR="00955138" w:rsidRDefault="00000000">
      <w:pPr>
        <w:spacing w:before="240" w:after="240"/>
        <w:jc w:val="both"/>
        <w:rPr>
          <w:sz w:val="26"/>
          <w:szCs w:val="26"/>
        </w:rPr>
      </w:pPr>
      <w:r>
        <w:rPr>
          <w:sz w:val="26"/>
          <w:szCs w:val="26"/>
        </w:rPr>
        <w:t xml:space="preserve">— </w:t>
      </w:r>
      <w:r>
        <w:rPr>
          <w:i/>
          <w:iCs/>
          <w:sz w:val="26"/>
          <w:szCs w:val="26"/>
        </w:rPr>
        <w:t>Zróżnicowanie pomiędzy wolumenem a wartością jasno pokazuje, że rynek listów nie jest jednorodny. Każda branża funkcjonuje w innym otoczeniu regulacyjnym i ma odmienne potrzeby komunikacyjne. Dlatego kluczowa staje się elastyczność operatora oraz umiejętność dopasowania usług do specyfiki nadawcy</w:t>
      </w:r>
      <w:r>
        <w:rPr>
          <w:sz w:val="26"/>
          <w:szCs w:val="26"/>
        </w:rPr>
        <w:t xml:space="preserve"> — zauważa </w:t>
      </w:r>
      <w:r>
        <w:rPr>
          <w:b/>
          <w:bCs/>
          <w:sz w:val="26"/>
          <w:szCs w:val="26"/>
        </w:rPr>
        <w:t>Janusz Konopka, Prezes Zarządu Speedmail.</w:t>
      </w:r>
    </w:p>
    <w:p w14:paraId="418DA6C8" w14:textId="733FEA55" w:rsidR="00955138" w:rsidRDefault="00000000">
      <w:pPr>
        <w:jc w:val="both"/>
        <w:rPr>
          <w:sz w:val="24"/>
          <w:szCs w:val="24"/>
        </w:rPr>
      </w:pPr>
      <w:r>
        <w:rPr>
          <w:sz w:val="26"/>
          <w:szCs w:val="26"/>
        </w:rPr>
        <w:t xml:space="preserve">Dane Speedmail potwierdzają, że mimo postępującej cyfryzacji, tradycyjne przesyłki listowe pozostają ważnym elementem komunikacji w wielu sektorach. Szczególnie widoczne jest to w branżach regulowanych oraz w obszarach, gdzie liczy się formalny </w:t>
      </w:r>
      <w:r>
        <w:rPr>
          <w:sz w:val="26"/>
          <w:szCs w:val="26"/>
        </w:rPr>
        <w:lastRenderedPageBreak/>
        <w:t xml:space="preserve">charakter przekazu i skuteczność dotarcia do odbiorcy. — </w:t>
      </w:r>
      <w:r>
        <w:rPr>
          <w:i/>
          <w:iCs/>
          <w:sz w:val="26"/>
          <w:szCs w:val="26"/>
        </w:rPr>
        <w:t>Cyfryzacja będzie postępować, ale list nie znika. On zmienia swoją rolę — z masowego kanału komunikacji staje się narzędziem precyzyjnym, wykorzystywanym tam, gdzie naprawdę ma znaczenie</w:t>
      </w:r>
      <w:r>
        <w:rPr>
          <w:sz w:val="26"/>
          <w:szCs w:val="26"/>
        </w:rPr>
        <w:t xml:space="preserve"> — podsumowuje</w:t>
      </w:r>
      <w:r>
        <w:rPr>
          <w:b/>
          <w:bCs/>
          <w:sz w:val="26"/>
          <w:szCs w:val="26"/>
        </w:rPr>
        <w:t xml:space="preserve"> Janusz Konopka.</w:t>
      </w:r>
    </w:p>
    <w:p w14:paraId="7244254A" w14:textId="77777777" w:rsidR="00955138" w:rsidRDefault="00955138">
      <w:pPr>
        <w:spacing w:after="0" w:line="269" w:lineRule="auto"/>
        <w:jc w:val="both"/>
      </w:pPr>
    </w:p>
    <w:p w14:paraId="3B577188" w14:textId="77777777" w:rsidR="00955138" w:rsidRDefault="00955138">
      <w:pPr>
        <w:spacing w:after="0" w:line="269" w:lineRule="auto"/>
        <w:jc w:val="both"/>
      </w:pPr>
    </w:p>
    <w:p w14:paraId="24AB4CBE" w14:textId="77777777" w:rsidR="00955138" w:rsidRDefault="00955138">
      <w:pPr>
        <w:spacing w:after="0" w:line="269" w:lineRule="auto"/>
        <w:jc w:val="both"/>
      </w:pPr>
    </w:p>
    <w:p w14:paraId="5AABE2CC" w14:textId="77777777" w:rsidR="00955138" w:rsidRDefault="00955138">
      <w:pPr>
        <w:spacing w:after="0" w:line="269" w:lineRule="auto"/>
        <w:jc w:val="both"/>
      </w:pPr>
    </w:p>
    <w:p w14:paraId="0F289AC8" w14:textId="77777777" w:rsidR="00955138" w:rsidRDefault="00000000">
      <w:pPr>
        <w:jc w:val="both"/>
        <w:rPr>
          <w:sz w:val="20"/>
          <w:szCs w:val="20"/>
        </w:rPr>
      </w:pPr>
      <w:r>
        <w:rPr>
          <w:color w:val="000000"/>
          <w:sz w:val="20"/>
          <w:szCs w:val="20"/>
          <w:highlight w:val="white"/>
        </w:rPr>
        <w:t>***</w:t>
      </w:r>
    </w:p>
    <w:p w14:paraId="23C6A900" w14:textId="77777777" w:rsidR="00955138" w:rsidRDefault="00000000">
      <w:pPr>
        <w:shd w:val="clear" w:color="auto" w:fill="FFFFFF"/>
        <w:spacing w:after="0" w:line="268" w:lineRule="auto"/>
        <w:jc w:val="both"/>
        <w:rPr>
          <w:color w:val="222222"/>
          <w:sz w:val="20"/>
          <w:szCs w:val="20"/>
        </w:rPr>
      </w:pPr>
      <w:r>
        <w:rPr>
          <w:b/>
          <w:bCs/>
          <w:color w:val="222222"/>
          <w:sz w:val="20"/>
          <w:szCs w:val="20"/>
        </w:rPr>
        <w:t>Speedmail</w:t>
      </w:r>
      <w:r>
        <w:rPr>
          <w:color w:val="222222"/>
          <w:sz w:val="20"/>
          <w:szCs w:val="20"/>
        </w:rPr>
        <w:t xml:space="preserve"> to największy w Polsce niezależny operator pocztowy. Firma doręcza przesyłki listowe i marketingowe poprzez sieć ponad 100 placówek zlokalizowanych w większości dużych i średnich miast kraju. Oferta Speedmail adresowana jest do firm takich jak: banki, operatorzy telekomunikacyjni, telewizje kablowe, firmy ubezpieczeniowe, ale też do agencji marketingowych, fundacji, samorządów oraz spółek miejskich. Jej konkurencyjną przewagę stanowią zarówno elastyczność cenowa, jak i najnowsze rozwiązania IT: śledzenie wszystkich przesyłek, monitoring listonoszy on-line czy aplikacja do zarządzania korespondencją. Dzięki zintegrowaniu z największymi drukarniami korespondencji i firmami konfekcyjnymi, Speedmail zapewnia pełną automatyzację wysyłek masowych. Działalność firmy wyróżnia zastosowanie sprawdzonych rozwiązań logistycznych, ale także dbałość o bezpieczeństwo obrotu pocztowego. Marka Speedmail budowana jest w oparciu o najlepsze praktyki i doświadczenia rynków europejskich. </w:t>
      </w:r>
    </w:p>
    <w:p w14:paraId="174E1D46" w14:textId="77777777" w:rsidR="00955138" w:rsidRDefault="00955138">
      <w:pPr>
        <w:shd w:val="clear" w:color="auto" w:fill="FFFFFF"/>
        <w:spacing w:after="0" w:line="268" w:lineRule="auto"/>
        <w:jc w:val="both"/>
        <w:rPr>
          <w:color w:val="222222"/>
          <w:sz w:val="20"/>
          <w:szCs w:val="20"/>
        </w:rPr>
      </w:pPr>
    </w:p>
    <w:p w14:paraId="2AC5C9B8" w14:textId="77777777" w:rsidR="00955138" w:rsidRDefault="00955138">
      <w:pPr>
        <w:spacing w:after="0" w:line="266" w:lineRule="auto"/>
        <w:jc w:val="both"/>
        <w:rPr>
          <w:b/>
          <w:bCs/>
          <w:color w:val="000000"/>
          <w:sz w:val="18"/>
          <w:szCs w:val="18"/>
        </w:rPr>
      </w:pPr>
    </w:p>
    <w:p w14:paraId="00D84FAB" w14:textId="77777777" w:rsidR="00955138" w:rsidRDefault="00000000">
      <w:pPr>
        <w:spacing w:after="0" w:line="266" w:lineRule="auto"/>
        <w:jc w:val="both"/>
        <w:rPr>
          <w:b/>
          <w:bCs/>
          <w:color w:val="000000"/>
          <w:sz w:val="18"/>
          <w:szCs w:val="18"/>
        </w:rPr>
      </w:pPr>
      <w:r>
        <w:rPr>
          <w:b/>
          <w:bCs/>
          <w:color w:val="000000"/>
          <w:sz w:val="18"/>
          <w:szCs w:val="18"/>
        </w:rPr>
        <w:t>Kontakt dla mediów:</w:t>
      </w:r>
    </w:p>
    <w:p w14:paraId="057512F7" w14:textId="77777777" w:rsidR="00955138" w:rsidRDefault="00000000">
      <w:pPr>
        <w:spacing w:after="0" w:line="266" w:lineRule="auto"/>
        <w:jc w:val="both"/>
        <w:rPr>
          <w:color w:val="000000"/>
          <w:sz w:val="18"/>
          <w:szCs w:val="18"/>
        </w:rPr>
      </w:pPr>
      <w:r>
        <w:rPr>
          <w:sz w:val="18"/>
          <w:szCs w:val="18"/>
        </w:rPr>
        <w:t>Piotr Chojnacki</w:t>
      </w:r>
    </w:p>
    <w:p w14:paraId="776537EA" w14:textId="77777777" w:rsidR="00955138" w:rsidRDefault="00000000">
      <w:pPr>
        <w:spacing w:after="0" w:line="266" w:lineRule="auto"/>
        <w:jc w:val="both"/>
        <w:rPr>
          <w:color w:val="000000"/>
          <w:sz w:val="18"/>
          <w:szCs w:val="18"/>
        </w:rPr>
      </w:pPr>
      <w:r>
        <w:rPr>
          <w:color w:val="000000"/>
          <w:sz w:val="18"/>
          <w:szCs w:val="18"/>
        </w:rPr>
        <w:t xml:space="preserve">Tel. + 48 796 996 </w:t>
      </w:r>
      <w:r>
        <w:rPr>
          <w:sz w:val="18"/>
          <w:szCs w:val="18"/>
        </w:rPr>
        <w:t>267</w:t>
      </w:r>
    </w:p>
    <w:p w14:paraId="011EFB77" w14:textId="77777777" w:rsidR="00955138" w:rsidRPr="00D12DF4" w:rsidRDefault="00000000">
      <w:pPr>
        <w:spacing w:after="0" w:line="269" w:lineRule="auto"/>
        <w:jc w:val="both"/>
        <w:rPr>
          <w:lang w:val="en-US"/>
        </w:rPr>
      </w:pPr>
      <w:r w:rsidRPr="00D12DF4">
        <w:rPr>
          <w:color w:val="000000"/>
          <w:sz w:val="18"/>
          <w:szCs w:val="18"/>
          <w:lang w:val="en-US"/>
        </w:rPr>
        <w:t xml:space="preserve">E-mail: </w:t>
      </w:r>
      <w:r w:rsidRPr="00D12DF4">
        <w:rPr>
          <w:sz w:val="18"/>
          <w:szCs w:val="18"/>
          <w:lang w:val="en-US"/>
        </w:rPr>
        <w:t>piotr.chojnacki</w:t>
      </w:r>
      <w:r w:rsidRPr="00D12DF4">
        <w:rPr>
          <w:color w:val="000000"/>
          <w:sz w:val="18"/>
          <w:szCs w:val="18"/>
          <w:lang w:val="en-US"/>
        </w:rPr>
        <w:t>@goodonepr.pl</w:t>
      </w:r>
    </w:p>
    <w:p w14:paraId="1CA1A43A" w14:textId="77777777" w:rsidR="00955138" w:rsidRPr="00D12DF4" w:rsidRDefault="00955138">
      <w:pPr>
        <w:spacing w:after="0" w:line="269" w:lineRule="auto"/>
        <w:jc w:val="both"/>
        <w:rPr>
          <w:lang w:val="en-US"/>
        </w:rPr>
      </w:pPr>
    </w:p>
    <w:sectPr w:rsidR="00955138" w:rsidRPr="00D12DF4">
      <w:footerReference w:type="default" r:id="rId8"/>
      <w:pgSz w:w="11906" w:h="16838"/>
      <w:pgMar w:top="1134" w:right="1418" w:bottom="1134"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A0E4C" w14:textId="77777777" w:rsidR="009C21AB" w:rsidRDefault="009C21AB">
      <w:pPr>
        <w:spacing w:after="0" w:line="240" w:lineRule="auto"/>
      </w:pPr>
      <w:r>
        <w:separator/>
      </w:r>
    </w:p>
  </w:endnote>
  <w:endnote w:type="continuationSeparator" w:id="0">
    <w:p w14:paraId="74657AEA" w14:textId="77777777" w:rsidR="009C21AB" w:rsidRDefault="009C2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95B5350E-2626-4256-B560-BC34562BBE87}"/>
    <w:embedBold r:id="rId2" w:fontKey="{77461107-A787-4984-9665-DB2E9E882E58}"/>
    <w:embedItalic r:id="rId3" w:fontKey="{24B55293-DAC1-4EF0-B523-92458D38BCCF}"/>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BBBC75BF-1C92-46F2-816A-BAA2FEA5B842}"/>
  </w:font>
  <w:font w:name="Georgia">
    <w:panose1 w:val="02040502050405020303"/>
    <w:charset w:val="EE"/>
    <w:family w:val="roman"/>
    <w:pitch w:val="variable"/>
    <w:sig w:usb0="00000287" w:usb1="00000000" w:usb2="00000000" w:usb3="00000000" w:csb0="0000009F" w:csb1="00000000"/>
    <w:embedItalic r:id="rId5" w:fontKey="{CE1C722A-081C-4FED-9D3E-A7D6FE7443A0}"/>
  </w:font>
  <w:font w:name="Cambria">
    <w:panose1 w:val="02040503050406030204"/>
    <w:charset w:val="EE"/>
    <w:family w:val="roman"/>
    <w:pitch w:val="variable"/>
    <w:sig w:usb0="E00006FF" w:usb1="420024FF" w:usb2="02000000" w:usb3="00000000" w:csb0="0000019F" w:csb1="00000000"/>
    <w:embedRegular r:id="rId6" w:fontKey="{42FE683F-03C3-4D59-8D2C-11A5E8F5C9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9FEEA" w14:textId="77777777" w:rsidR="00955138" w:rsidRDefault="00000000">
    <w:pPr>
      <w:tabs>
        <w:tab w:val="center" w:pos="4536"/>
        <w:tab w:val="right" w:pos="9072"/>
      </w:tabs>
    </w:pPr>
    <w:r>
      <w:rPr>
        <w:noProof/>
      </w:rPr>
      <w:drawing>
        <wp:anchor distT="0" distB="0" distL="114300" distR="114300" simplePos="0" relativeHeight="251658240" behindDoc="0" locked="0" layoutInCell="1" hidden="0" allowOverlap="1" wp14:anchorId="25F7E2C5" wp14:editId="31C376A2">
          <wp:simplePos x="0" y="0"/>
          <wp:positionH relativeFrom="column">
            <wp:posOffset>-835172</wp:posOffset>
          </wp:positionH>
          <wp:positionV relativeFrom="paragraph">
            <wp:posOffset>6057900</wp:posOffset>
          </wp:positionV>
          <wp:extent cx="7430135" cy="708660"/>
          <wp:effectExtent l="0" t="0" r="0" b="0"/>
          <wp:wrapTopAndBottom distT="0" dist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430135" cy="708660"/>
                  </a:xfrm>
                  <a:prstGeom prst="rect">
                    <a:avLst/>
                  </a:prstGeom>
                  <a:ln/>
                </pic:spPr>
              </pic:pic>
            </a:graphicData>
          </a:graphic>
        </wp:anchor>
      </w:drawing>
    </w:r>
  </w:p>
  <w:p w14:paraId="3AA52EF9" w14:textId="77777777" w:rsidR="00955138" w:rsidRDefault="00000000">
    <w:pPr>
      <w:pBdr>
        <w:top w:val="nil"/>
        <w:left w:val="nil"/>
        <w:bottom w:val="nil"/>
        <w:right w:val="nil"/>
        <w:between w:val="nil"/>
      </w:pBdr>
      <w:tabs>
        <w:tab w:val="center" w:pos="4536"/>
        <w:tab w:val="right" w:pos="9072"/>
      </w:tabs>
      <w:spacing w:after="0" w:line="240" w:lineRule="auto"/>
    </w:pPr>
    <w:r>
      <w:rPr>
        <w:noProof/>
      </w:rPr>
      <w:drawing>
        <wp:anchor distT="0" distB="0" distL="114300" distR="114300" simplePos="0" relativeHeight="251659264" behindDoc="0" locked="0" layoutInCell="1" hidden="0" allowOverlap="1" wp14:anchorId="32AB013D" wp14:editId="655B5993">
          <wp:simplePos x="0" y="0"/>
          <wp:positionH relativeFrom="column">
            <wp:posOffset>-838193</wp:posOffset>
          </wp:positionH>
          <wp:positionV relativeFrom="paragraph">
            <wp:posOffset>101101</wp:posOffset>
          </wp:positionV>
          <wp:extent cx="7430135" cy="708660"/>
          <wp:effectExtent l="0" t="0" r="0" b="0"/>
          <wp:wrapTopAndBottom distT="0" dist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430135" cy="70866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87531" w14:textId="77777777" w:rsidR="009C21AB" w:rsidRDefault="009C21AB">
      <w:pPr>
        <w:spacing w:after="0" w:line="240" w:lineRule="auto"/>
      </w:pPr>
      <w:r>
        <w:separator/>
      </w:r>
    </w:p>
  </w:footnote>
  <w:footnote w:type="continuationSeparator" w:id="0">
    <w:p w14:paraId="2726C18B" w14:textId="77777777" w:rsidR="009C21AB" w:rsidRDefault="009C21A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138"/>
    <w:rsid w:val="00027081"/>
    <w:rsid w:val="003732AE"/>
    <w:rsid w:val="005826D9"/>
    <w:rsid w:val="006A1880"/>
    <w:rsid w:val="00726E4C"/>
    <w:rsid w:val="00955138"/>
    <w:rsid w:val="009C21AB"/>
    <w:rsid w:val="00AB3A79"/>
    <w:rsid w:val="00B03506"/>
    <w:rsid w:val="00CB627C"/>
    <w:rsid w:val="00CE00DE"/>
    <w:rsid w:val="00D12DF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423F4"/>
  <w15:docId w15:val="{3DBFE66C-BCB7-4445-BAC7-F6DB8E80D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unhideWhenUsed/>
    <w:qFormat/>
    <w:pPr>
      <w:keepNext/>
      <w:keepLines/>
      <w:spacing w:before="360" w:after="80"/>
      <w:outlineLvl w:val="1"/>
    </w:pPr>
    <w:rPr>
      <w:b/>
      <w:bCs/>
      <w:sz w:val="36"/>
      <w:szCs w:val="36"/>
    </w:rPr>
  </w:style>
  <w:style w:type="paragraph" w:styleId="Nagwek3">
    <w:name w:val="heading 3"/>
    <w:basedOn w:val="Normalny"/>
    <w:next w:val="Normalny"/>
    <w:uiPriority w:val="9"/>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NormalTable0">
    <w:name w:val="Normal Table0"/>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Nagwek">
    <w:name w:val="header"/>
    <w:link w:val="NagwekZnak"/>
    <w:uiPriority w:val="99"/>
    <w:unhideWhenUsed/>
    <w:rsid w:val="00C82990"/>
    <w:pPr>
      <w:tabs>
        <w:tab w:val="center" w:pos="4536"/>
        <w:tab w:val="right" w:pos="9072"/>
      </w:tabs>
      <w:spacing w:after="0" w:line="240" w:lineRule="auto"/>
    </w:pPr>
    <w:rPr>
      <w:rFonts w:eastAsiaTheme="minorHAnsi"/>
      <w:lang w:eastAsia="en-US"/>
    </w:rPr>
  </w:style>
  <w:style w:type="character" w:customStyle="1" w:styleId="NagwekZnak">
    <w:name w:val="Nagłówek Znak"/>
    <w:basedOn w:val="Domylnaczcionkaakapitu"/>
    <w:link w:val="Nagwek"/>
    <w:uiPriority w:val="99"/>
    <w:rsid w:val="00C82990"/>
  </w:style>
  <w:style w:type="paragraph" w:styleId="Stopka">
    <w:name w:val="footer"/>
    <w:link w:val="StopkaZnak"/>
    <w:uiPriority w:val="99"/>
    <w:unhideWhenUsed/>
    <w:rsid w:val="00C82990"/>
    <w:pPr>
      <w:tabs>
        <w:tab w:val="center" w:pos="4536"/>
        <w:tab w:val="right" w:pos="9072"/>
      </w:tabs>
      <w:spacing w:after="0" w:line="240" w:lineRule="auto"/>
    </w:pPr>
    <w:rPr>
      <w:rFonts w:eastAsiaTheme="minorHAnsi"/>
      <w:lang w:eastAsia="en-US"/>
    </w:rPr>
  </w:style>
  <w:style w:type="character" w:customStyle="1" w:styleId="StopkaZnak">
    <w:name w:val="Stopka Znak"/>
    <w:basedOn w:val="Domylnaczcionkaakapitu"/>
    <w:link w:val="Stopka"/>
    <w:uiPriority w:val="99"/>
    <w:rsid w:val="00C82990"/>
  </w:style>
  <w:style w:type="paragraph" w:styleId="Tekstdymka">
    <w:name w:val="Balloon Text"/>
    <w:link w:val="TekstdymkaZnak"/>
    <w:uiPriority w:val="99"/>
    <w:semiHidden/>
    <w:unhideWhenUsed/>
    <w:rsid w:val="00C8299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82990"/>
    <w:rPr>
      <w:rFonts w:ascii="Tahoma" w:hAnsi="Tahoma" w:cs="Tahoma"/>
      <w:sz w:val="16"/>
      <w:szCs w:val="16"/>
    </w:rPr>
  </w:style>
  <w:style w:type="paragraph" w:styleId="Akapitzlist">
    <w:name w:val="List Paragraph"/>
    <w:uiPriority w:val="34"/>
    <w:qFormat/>
    <w:rsid w:val="00EE0AB3"/>
    <w:pPr>
      <w:ind w:left="720"/>
      <w:contextualSpacing/>
    </w:pPr>
  </w:style>
  <w:style w:type="character" w:styleId="Hipercze">
    <w:name w:val="Hyperlink"/>
    <w:basedOn w:val="Domylnaczcionkaakapitu"/>
    <w:uiPriority w:val="99"/>
    <w:unhideWhenUsed/>
    <w:rsid w:val="00D942AB"/>
    <w:rPr>
      <w:color w:val="0000FF" w:themeColor="hyperlink"/>
      <w:u w:val="single"/>
    </w:rPr>
  </w:style>
  <w:style w:type="character" w:styleId="Pogrubienie">
    <w:name w:val="Strong"/>
    <w:basedOn w:val="Domylnaczcionkaakapitu"/>
    <w:uiPriority w:val="22"/>
    <w:qFormat/>
    <w:rsid w:val="00706D9F"/>
    <w:rPr>
      <w:b/>
      <w:bCs/>
    </w:rPr>
  </w:style>
  <w:style w:type="paragraph" w:styleId="Tekstprzypisukocowego">
    <w:name w:val="endnote text"/>
    <w:link w:val="TekstprzypisukocowegoZnak"/>
    <w:uiPriority w:val="99"/>
    <w:semiHidden/>
    <w:unhideWhenUsed/>
    <w:rsid w:val="00B0018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00188"/>
    <w:rPr>
      <w:rFonts w:eastAsiaTheme="minorEastAsia"/>
      <w:sz w:val="20"/>
      <w:szCs w:val="20"/>
      <w:lang w:eastAsia="pl-PL"/>
    </w:rPr>
  </w:style>
  <w:style w:type="character" w:styleId="Odwoanieprzypisukocowego">
    <w:name w:val="endnote reference"/>
    <w:basedOn w:val="Domylnaczcionkaakapitu"/>
    <w:uiPriority w:val="99"/>
    <w:semiHidden/>
    <w:unhideWhenUsed/>
    <w:rsid w:val="00B00188"/>
    <w:rPr>
      <w:vertAlign w:val="superscript"/>
    </w:rPr>
  </w:style>
  <w:style w:type="character" w:styleId="Odwoaniedokomentarza">
    <w:name w:val="annotation reference"/>
    <w:basedOn w:val="Domylnaczcionkaakapitu"/>
    <w:uiPriority w:val="99"/>
    <w:semiHidden/>
    <w:unhideWhenUsed/>
    <w:rsid w:val="00530E04"/>
    <w:rPr>
      <w:sz w:val="16"/>
      <w:szCs w:val="16"/>
    </w:rPr>
  </w:style>
  <w:style w:type="paragraph" w:styleId="Tekstkomentarza">
    <w:name w:val="annotation text"/>
    <w:link w:val="TekstkomentarzaZnak"/>
    <w:uiPriority w:val="99"/>
    <w:unhideWhenUsed/>
    <w:rsid w:val="00530E04"/>
    <w:pPr>
      <w:spacing w:line="240" w:lineRule="auto"/>
    </w:pPr>
    <w:rPr>
      <w:sz w:val="20"/>
      <w:szCs w:val="20"/>
    </w:rPr>
  </w:style>
  <w:style w:type="character" w:customStyle="1" w:styleId="TekstkomentarzaZnak">
    <w:name w:val="Tekst komentarza Znak"/>
    <w:basedOn w:val="Domylnaczcionkaakapitu"/>
    <w:link w:val="Tekstkomentarza"/>
    <w:uiPriority w:val="99"/>
    <w:rsid w:val="00530E04"/>
    <w:rPr>
      <w:rFonts w:eastAsiaTheme="minorEastAsia"/>
      <w:sz w:val="20"/>
      <w:szCs w:val="20"/>
      <w:lang w:eastAsia="pl-PL"/>
    </w:rPr>
  </w:style>
  <w:style w:type="paragraph" w:styleId="Tematkomentarza">
    <w:name w:val="annotation subject"/>
    <w:basedOn w:val="Tekstkomentarza"/>
    <w:next w:val="Tekstkomentarza"/>
    <w:link w:val="TematkomentarzaZnak"/>
    <w:uiPriority w:val="99"/>
    <w:semiHidden/>
    <w:unhideWhenUsed/>
    <w:rsid w:val="00530E04"/>
    <w:rPr>
      <w:b/>
      <w:bCs/>
    </w:rPr>
  </w:style>
  <w:style w:type="character" w:customStyle="1" w:styleId="TematkomentarzaZnak">
    <w:name w:val="Temat komentarza Znak"/>
    <w:basedOn w:val="TekstkomentarzaZnak"/>
    <w:link w:val="Tematkomentarza"/>
    <w:uiPriority w:val="99"/>
    <w:semiHidden/>
    <w:rsid w:val="00530E04"/>
    <w:rPr>
      <w:rFonts w:eastAsiaTheme="minorEastAsia"/>
      <w:b/>
      <w:bCs/>
      <w:sz w:val="20"/>
      <w:szCs w:val="20"/>
      <w:lang w:eastAsia="pl-PL"/>
    </w:rPr>
  </w:style>
  <w:style w:type="paragraph" w:styleId="Poprawka">
    <w:name w:val="Revision"/>
    <w:hidden/>
    <w:uiPriority w:val="99"/>
    <w:semiHidden/>
    <w:rsid w:val="00BF26AB"/>
    <w:pPr>
      <w:spacing w:after="0" w:line="240" w:lineRule="auto"/>
    </w:pPr>
    <w:rPr>
      <w:rFonts w:eastAsiaTheme="minorEastAsia"/>
    </w:rPr>
  </w:style>
  <w:style w:type="paragraph" w:styleId="NormalnyWeb">
    <w:name w:val="Normal (Web)"/>
    <w:uiPriority w:val="99"/>
    <w:semiHidden/>
    <w:unhideWhenUsed/>
    <w:rsid w:val="006873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nowrap">
    <w:name w:val="text-nowrap"/>
    <w:basedOn w:val="Domylnaczcionkaakapitu"/>
    <w:rsid w:val="00CD5B01"/>
  </w:style>
  <w:style w:type="character" w:styleId="Uwydatnienie">
    <w:name w:val="Emphasis"/>
    <w:basedOn w:val="Domylnaczcionkaakapitu"/>
    <w:uiPriority w:val="20"/>
    <w:qFormat/>
    <w:rsid w:val="00DA2D5E"/>
    <w:rPr>
      <w:i/>
      <w:iCs/>
    </w:rPr>
  </w:style>
  <w:style w:type="character" w:customStyle="1" w:styleId="Nierozpoznanawzmianka1">
    <w:name w:val="Nierozpoznana wzmianka1"/>
    <w:basedOn w:val="Domylnaczcionkaakapitu"/>
    <w:uiPriority w:val="99"/>
    <w:semiHidden/>
    <w:unhideWhenUsed/>
    <w:rsid w:val="007C36BD"/>
    <w:rPr>
      <w:color w:val="605E5C"/>
      <w:shd w:val="clear" w:color="auto" w:fill="E1DFDD"/>
    </w:rPr>
  </w:style>
  <w:style w:type="paragraph" w:styleId="Tekstprzypisudolnego">
    <w:name w:val="footnote text"/>
    <w:link w:val="TekstprzypisudolnegoZnak"/>
    <w:uiPriority w:val="99"/>
    <w:semiHidden/>
    <w:unhideWhenUsed/>
    <w:rsid w:val="00E7697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7697A"/>
    <w:rPr>
      <w:rFonts w:eastAsiaTheme="minorEastAsia"/>
      <w:sz w:val="20"/>
      <w:szCs w:val="20"/>
    </w:rPr>
  </w:style>
  <w:style w:type="character" w:styleId="Odwoanieprzypisudolnego">
    <w:name w:val="footnote reference"/>
    <w:basedOn w:val="Domylnaczcionkaakapitu"/>
    <w:uiPriority w:val="99"/>
    <w:semiHidden/>
    <w:unhideWhenUsed/>
    <w:rsid w:val="00E7697A"/>
    <w:rPr>
      <w:vertAlign w:val="superscript"/>
    </w:r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ZSJjs2lmRlq2jlyD3+w+M3XvmA==">CgMxLjAyDWguaXBsZ3NsbGYwZ2IyDmgub3ByaGE4ZGFwZnVzMg5oLmhuYzM5ajJ1dDg5MDgAciExaDNTWFBrUm1oR2xEV1Nyc2hPaG5SVzlrN1FaZWdxQjA=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891</Words>
  <Characters>5351</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Zielinska</dc:creator>
  <cp:lastModifiedBy>Good One</cp:lastModifiedBy>
  <cp:revision>3</cp:revision>
  <dcterms:created xsi:type="dcterms:W3CDTF">2026-03-03T09:53:00Z</dcterms:created>
  <dcterms:modified xsi:type="dcterms:W3CDTF">2026-03-10T11:43:00Z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12b0b2-1478-4c29-b719-0ace0124ecbe_Enabled">
    <vt:lpwstr>true</vt:lpwstr>
  </property>
  <property fmtid="{D5CDD505-2E9C-101B-9397-08002B2CF9AE}" pid="3" name="MSIP_Label_a812b0b2-1478-4c29-b719-0ace0124ecbe_SetDate">
    <vt:lpwstr>2024-09-23T07:29:57Z</vt:lpwstr>
  </property>
  <property fmtid="{D5CDD505-2E9C-101B-9397-08002B2CF9AE}" pid="4" name="MSIP_Label_a812b0b2-1478-4c29-b719-0ace0124ecbe_Method">
    <vt:lpwstr>Standard</vt:lpwstr>
  </property>
  <property fmtid="{D5CDD505-2E9C-101B-9397-08002B2CF9AE}" pid="5" name="MSIP_Label_a812b0b2-1478-4c29-b719-0ace0124ecbe_Name">
    <vt:lpwstr>PL_01_public</vt:lpwstr>
  </property>
  <property fmtid="{D5CDD505-2E9C-101B-9397-08002B2CF9AE}" pid="6" name="MSIP_Label_a812b0b2-1478-4c29-b719-0ace0124ecbe_SiteId">
    <vt:lpwstr>94a57ab1-b77f-4874-94d3-202694f69e30</vt:lpwstr>
  </property>
  <property fmtid="{D5CDD505-2E9C-101B-9397-08002B2CF9AE}" pid="7" name="MSIP_Label_a812b0b2-1478-4c29-b719-0ace0124ecbe_ActionId">
    <vt:lpwstr>ff1bb62b-11a8-4f6e-9a05-9c15f69cddd9</vt:lpwstr>
  </property>
  <property fmtid="{D5CDD505-2E9C-101B-9397-08002B2CF9AE}" pid="8" name="MSIP_Label_a812b0b2-1478-4c29-b719-0ace0124ecbe_ContentBits">
    <vt:lpwstr>0</vt:lpwstr>
  </property>
</Properties>
</file>