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aleway" w:cs="Raleway" w:eastAsia="Raleway" w:hAnsi="Raleway"/>
        </w:rPr>
      </w:pPr>
      <w:r w:rsidDel="00000000" w:rsidR="00000000" w:rsidRPr="00000000">
        <w:rPr>
          <w:rtl w:val="0"/>
        </w:rPr>
      </w:r>
    </w:p>
    <w:p w:rsidR="00000000" w:rsidDel="00000000" w:rsidP="00000000" w:rsidRDefault="00000000" w:rsidRPr="00000000" w14:paraId="00000002">
      <w:pPr>
        <w:rPr>
          <w:rFonts w:ascii="Raleway" w:cs="Raleway" w:eastAsia="Raleway" w:hAnsi="Raleway"/>
          <w:i w:val="1"/>
          <w:iCs w:val="1"/>
        </w:rPr>
      </w:pPr>
      <w:r w:rsidDel="00000000" w:rsidR="00000000" w:rsidRPr="00000000">
        <w:rPr>
          <w:rFonts w:ascii="Raleway" w:cs="Raleway" w:eastAsia="Raleway" w:hAnsi="Raleway"/>
          <w:i w:val="1"/>
          <w:iCs w:val="1"/>
          <w:rtl w:val="0"/>
        </w:rPr>
        <w:t xml:space="preserve">I</w:t>
      </w:r>
      <w:r w:rsidDel="00000000" w:rsidR="00000000" w:rsidRPr="00000000">
        <w:rPr>
          <w:rFonts w:ascii="Raleway" w:cs="Raleway" w:eastAsia="Raleway" w:hAnsi="Raleway"/>
          <w:i w:val="1"/>
          <w:iCs w:val="1"/>
          <w:rtl w:val="0"/>
        </w:rPr>
        <w:t xml:space="preserve">nformacja prasowa</w:t>
      </w:r>
    </w:p>
    <w:p w:rsidR="00000000" w:rsidDel="00000000" w:rsidP="00000000" w:rsidRDefault="00000000" w:rsidRPr="00000000" w14:paraId="00000003">
      <w:pPr>
        <w:jc w:val="right"/>
        <w:rPr>
          <w:rFonts w:ascii="Raleway" w:cs="Raleway" w:eastAsia="Raleway" w:hAnsi="Raleway"/>
          <w:b w:val="1"/>
          <w:bCs w:val="1"/>
          <w:sz w:val="28"/>
          <w:szCs w:val="28"/>
        </w:rPr>
      </w:pPr>
      <w:r w:rsidDel="00000000" w:rsidR="00000000" w:rsidRPr="00000000">
        <w:rPr>
          <w:rFonts w:ascii="Raleway" w:cs="Raleway" w:eastAsia="Raleway" w:hAnsi="Raleway"/>
          <w:rtl w:val="0"/>
        </w:rPr>
        <w:t xml:space="preserve">Warszawa, 10.03.2026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b w:val="1"/>
          <w:bCs w:val="1"/>
          <w:sz w:val="28"/>
          <w:szCs w:val="28"/>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Raleway" w:cs="Raleway" w:eastAsia="Raleway" w:hAnsi="Raleway"/>
          <w:b w:val="1"/>
          <w:bCs w:val="1"/>
          <w:color w:val="000000"/>
          <w:sz w:val="26"/>
          <w:szCs w:val="26"/>
        </w:rPr>
      </w:pPr>
      <w:r w:rsidDel="00000000" w:rsidR="00000000" w:rsidRPr="00000000">
        <w:rPr>
          <w:rFonts w:ascii="Raleway" w:cs="Raleway" w:eastAsia="Raleway" w:hAnsi="Raleway"/>
          <w:b w:val="1"/>
          <w:bCs w:val="1"/>
          <w:sz w:val="26"/>
          <w:szCs w:val="26"/>
          <w:rtl w:val="0"/>
        </w:rPr>
        <w:t xml:space="preserve">Value Media wygrywa przetarg GoodMills Polska na obsługę mediową marki „Basia”</w:t>
      </w:r>
      <w:r w:rsidDel="00000000" w:rsidR="00000000" w:rsidRPr="00000000">
        <w:rPr>
          <w:rtl w:val="0"/>
        </w:rPr>
      </w:r>
    </w:p>
    <w:p w:rsidR="00000000" w:rsidDel="00000000" w:rsidP="00000000" w:rsidRDefault="00000000" w:rsidRPr="00000000" w14:paraId="00000006">
      <w:pPr>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Agencja mediowa Value Media wygrała przetarg GoodMills Polska na obsługę mediową 360 marki „Basia”. W ramach współpracy agencja odpowiada za przygotowanie strategii mediowej oraz realizację działań zarówno online, jak i offline, a także wsparcie projektów niestandardowych. Wybór partnera został dokonany po analizie strategii i warunków kosztowych zaprezentowanych w procesie przetargowym.</w:t>
      </w:r>
    </w:p>
    <w:p w:rsidR="00000000" w:rsidDel="00000000" w:rsidP="00000000" w:rsidRDefault="00000000" w:rsidRPr="00000000" w14:paraId="00000007">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Proces wyboru agencji obejmował przygotowanie i prezentację podejścia strategicznego opartego na danych, połączonego z kreatywnością i innowacyjnym spojrzeniem na komunikację marki. Kluczowe znaczenie w decyzji miało podejście data powered, curiosity driven – skoncentrowane na analizie danych oraz rekomendacjach wynikających z wniosków, które mają wspierać skuteczność planowania i doboru kanałów.</w:t>
      </w:r>
    </w:p>
    <w:p w:rsidR="00000000" w:rsidDel="00000000" w:rsidP="00000000" w:rsidRDefault="00000000" w:rsidRPr="00000000" w14:paraId="00000008">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Zakres współpracy obejmuje obsługę mediową od strategii i planowania, przez działania online, po aktywności offline, w tym kampanie telewizyjne. W ramach projektów niestandardowych przewidziane jest także rozwijanie formatów dopasowanych do celów i kontekstu komunikacyjnego marki „Basia”.</w:t>
      </w:r>
    </w:p>
    <w:p w:rsidR="00000000" w:rsidDel="00000000" w:rsidP="00000000" w:rsidRDefault="00000000" w:rsidRPr="00000000" w14:paraId="00000009">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Działania będą realizowane w modelu House of Communication z wykorzystaniem synergii kompetencji spółek Group One. Za kampanie dla marki “Basia” odpowiada Value Media, a wspierająco w obszarze digital w projekt zaangażowane będą Salestube oraz Labcon.</w:t>
      </w:r>
    </w:p>
    <w:p w:rsidR="00000000" w:rsidDel="00000000" w:rsidP="00000000" w:rsidRDefault="00000000" w:rsidRPr="00000000" w14:paraId="0000000A">
      <w:pPr>
        <w:spacing w:line="276"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t>
      </w:r>
    </w:p>
    <w:p w:rsidR="00000000" w:rsidDel="00000000" w:rsidP="00000000" w:rsidRDefault="00000000" w:rsidRPr="00000000" w14:paraId="0000000B">
      <w:pPr>
        <w:spacing w:line="276" w:lineRule="auto"/>
        <w:jc w:val="center"/>
        <w:rPr>
          <w:rFonts w:ascii="Raleway" w:cs="Raleway" w:eastAsia="Raleway" w:hAnsi="Raleway"/>
          <w:b w:val="1"/>
          <w:bCs w:val="1"/>
          <w:sz w:val="18"/>
          <w:szCs w:val="18"/>
        </w:rPr>
      </w:pPr>
      <w:r w:rsidDel="00000000" w:rsidR="00000000" w:rsidRPr="00000000">
        <w:rPr>
          <w:rFonts w:ascii="Raleway" w:cs="Raleway" w:eastAsia="Raleway" w:hAnsi="Raleway"/>
          <w:b w:val="1"/>
          <w:bCs w:val="1"/>
          <w:sz w:val="18"/>
          <w:szCs w:val="18"/>
          <w:rtl w:val="0"/>
        </w:rPr>
        <w:t xml:space="preserve">Value Media</w:t>
      </w:r>
    </w:p>
    <w:p w:rsidR="00000000" w:rsidDel="00000000" w:rsidP="00000000" w:rsidRDefault="00000000" w:rsidRPr="00000000" w14:paraId="0000000C">
      <w:pPr>
        <w:spacing w:line="276" w:lineRule="auto"/>
        <w:jc w:val="both"/>
        <w:rPr>
          <w:rFonts w:ascii="Raleway" w:cs="Raleway" w:eastAsia="Raleway" w:hAnsi="Raleway"/>
          <w:sz w:val="18"/>
          <w:szCs w:val="18"/>
        </w:rPr>
      </w:pPr>
      <w:r w:rsidDel="00000000" w:rsidR="00000000" w:rsidRPr="00000000">
        <w:rPr>
          <w:rFonts w:ascii="Raleway" w:cs="Raleway" w:eastAsia="Raleway" w:hAnsi="Raleway"/>
          <w:b w:val="1"/>
          <w:bCs w:val="1"/>
          <w:sz w:val="18"/>
          <w:szCs w:val="18"/>
          <w:rtl w:val="0"/>
        </w:rPr>
        <w:br w:type="textWrapping"/>
      </w:r>
      <w:r w:rsidDel="00000000" w:rsidR="00000000" w:rsidRPr="00000000">
        <w:rPr>
          <w:rFonts w:ascii="Raleway" w:cs="Raleway" w:eastAsia="Raleway" w:hAnsi="Raleway"/>
          <w:sz w:val="18"/>
          <w:szCs w:val="18"/>
          <w:rtl w:val="0"/>
        </w:rPr>
        <w:t xml:space="preserve">Największa niezależna agencja mediowa w Polsce będąca częścią grupy marketingowo-technologicznej Group One. Zdobywca tytułu “Dom Mediowy Roku” 2018 i 2022 wg magazynu Media i Marketing Polska i wyróżnienia “Bogate Portfolio” 2025 oraz “Sukces Roku 2022” i “Wzrost Roku 2024” wg magazynu PRESS. Od 2021 roku obejmuje pozycję dominującą w światowym rankingu RECMA</w:t>
      </w:r>
      <w:r w:rsidDel="00000000" w:rsidR="00000000" w:rsidRPr="00000000">
        <w:rPr>
          <w:rFonts w:ascii="Raleway" w:cs="Raleway" w:eastAsia="Raleway" w:hAnsi="Raleway"/>
          <w:sz w:val="18"/>
          <w:szCs w:val="18"/>
          <w:highlight w:val="white"/>
          <w:rtl w:val="0"/>
        </w:rPr>
        <w:t xml:space="preserve">. </w:t>
      </w:r>
      <w:r w:rsidDel="00000000" w:rsidR="00000000" w:rsidRPr="00000000">
        <w:rPr>
          <w:rFonts w:ascii="Raleway" w:cs="Raleway" w:eastAsia="Raleway" w:hAnsi="Raleway"/>
          <w:sz w:val="18"/>
          <w:szCs w:val="18"/>
          <w:rtl w:val="0"/>
        </w:rPr>
        <w:t xml:space="preserve">W ramach podejścia House of Communication łączy kompetencje ponad 840 ekspertów do budowania silnych marek. Oferując rozwiązania end-to-end bierze odpowiedzialność za wynik biznesowy klientów w obszarach takich jak: strategia, komunikacja, kreacja, media, e-commerce oraz badania i analityka. </w:t>
      </w:r>
    </w:p>
    <w:p w:rsidR="00000000" w:rsidDel="00000000" w:rsidP="00000000" w:rsidRDefault="00000000" w:rsidRPr="00000000" w14:paraId="0000000D">
      <w:pPr>
        <w:spacing w:line="276" w:lineRule="auto"/>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0E">
      <w:pPr>
        <w:widowControl w:val="0"/>
        <w:spacing w:line="240" w:lineRule="auto"/>
        <w:jc w:val="center"/>
        <w:rPr>
          <w:rFonts w:ascii="Raleway" w:cs="Raleway" w:eastAsia="Raleway" w:hAnsi="Raleway"/>
          <w:sz w:val="18"/>
          <w:szCs w:val="18"/>
        </w:rPr>
      </w:pPr>
      <w:r w:rsidDel="00000000" w:rsidR="00000000" w:rsidRPr="00000000">
        <w:rPr>
          <w:rFonts w:ascii="Raleway" w:cs="Raleway" w:eastAsia="Raleway" w:hAnsi="Raleway"/>
          <w:b w:val="1"/>
          <w:bCs w:val="1"/>
          <w:sz w:val="18"/>
          <w:szCs w:val="18"/>
          <w:rtl w:val="0"/>
        </w:rPr>
        <w:t xml:space="preserve"> Salestube</w:t>
      </w:r>
      <w:r w:rsidDel="00000000" w:rsidR="00000000" w:rsidRPr="00000000">
        <w:rPr>
          <w:rtl w:val="0"/>
        </w:rPr>
      </w:r>
    </w:p>
    <w:p w:rsidR="00000000" w:rsidDel="00000000" w:rsidP="00000000" w:rsidRDefault="00000000" w:rsidRPr="00000000" w14:paraId="0000000F">
      <w:pPr>
        <w:jc w:val="both"/>
        <w:rPr>
          <w:rFonts w:ascii="Raleway" w:cs="Raleway" w:eastAsia="Raleway" w:hAnsi="Raleway"/>
          <w:sz w:val="18"/>
          <w:szCs w:val="18"/>
        </w:rPr>
      </w:pPr>
      <w:r w:rsidDel="00000000" w:rsidR="00000000" w:rsidRPr="00000000">
        <w:rPr>
          <w:rFonts w:ascii="Raleway" w:cs="Raleway" w:eastAsia="Raleway" w:hAnsi="Raleway"/>
          <w:color w:val="222222"/>
          <w:sz w:val="18"/>
          <w:szCs w:val="18"/>
          <w:rtl w:val="0"/>
        </w:rPr>
        <w:br w:type="textWrapping"/>
      </w:r>
      <w:r w:rsidDel="00000000" w:rsidR="00000000" w:rsidRPr="00000000">
        <w:rPr>
          <w:rFonts w:ascii="Raleway" w:cs="Raleway" w:eastAsia="Raleway" w:hAnsi="Raleway"/>
          <w:sz w:val="18"/>
          <w:szCs w:val="18"/>
          <w:rtl w:val="0"/>
        </w:rPr>
        <w:t xml:space="preserve">Spółka e-commerce &amp; MarTech connected z oddziałami w Warszawie, Nowym Jorku, Auckland i Berlinie. Łączy kompetencje w obszarze e-commerce, technologii, danych i mediów, aby budować najlepsze doświadczenie użytkowników w świecie zakupów na ponad 35 światowych rynkach. Partner technologiczny Big Tech, m.in. Google Marketing Platform, Google Cloud, Salesforce, Microsoft, Meta, TikTok. Jedna z pierwszych firm na świecie z pełną certyfikacją Google Marketing Platform i największy reseller tej technologii w regionie CEE obsługujący ponad 250 klientów. Agencja Digital 2021 oraz 2024 wg M&amp;MP, w 2023 roku wyróżniona tytułem “Mistrzowie Efektywności” w Raporcie Agencje Digitalowe M&amp;MP oraz Agencja Roku wg </w:t>
      </w:r>
      <w:r w:rsidDel="00000000" w:rsidR="00000000" w:rsidRPr="00000000">
        <w:rPr>
          <w:rFonts w:ascii="Raleway" w:cs="Raleway" w:eastAsia="Raleway" w:hAnsi="Raleway"/>
          <w:sz w:val="18"/>
          <w:szCs w:val="18"/>
          <w:highlight w:val="white"/>
          <w:rtl w:val="0"/>
        </w:rPr>
        <w:t xml:space="preserve">Performance Marketing Diamonds 2022 i 2023.</w:t>
      </w:r>
      <w:r w:rsidDel="00000000" w:rsidR="00000000" w:rsidRPr="00000000">
        <w:rPr>
          <w:rFonts w:ascii="Raleway" w:cs="Raleway" w:eastAsia="Raleway" w:hAnsi="Raleway"/>
          <w:sz w:val="18"/>
          <w:szCs w:val="18"/>
          <w:rtl w:val="0"/>
        </w:rPr>
        <w:t xml:space="preserve">  </w:t>
      </w:r>
    </w:p>
    <w:p w:rsidR="00000000" w:rsidDel="00000000" w:rsidP="00000000" w:rsidRDefault="00000000" w:rsidRPr="00000000" w14:paraId="00000010">
      <w:pPr>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1">
      <w:pPr>
        <w:jc w:val="center"/>
        <w:rPr>
          <w:rFonts w:ascii="Raleway" w:cs="Raleway" w:eastAsia="Raleway" w:hAnsi="Raleway"/>
          <w:color w:val="222222"/>
          <w:sz w:val="18"/>
          <w:szCs w:val="18"/>
          <w:highlight w:val="white"/>
        </w:rPr>
      </w:pPr>
      <w:r w:rsidDel="00000000" w:rsidR="00000000" w:rsidRPr="00000000">
        <w:rPr>
          <w:rFonts w:ascii="Raleway" w:cs="Raleway" w:eastAsia="Raleway" w:hAnsi="Raleway"/>
          <w:b w:val="1"/>
          <w:bCs w:val="1"/>
          <w:sz w:val="18"/>
          <w:szCs w:val="18"/>
          <w:rtl w:val="0"/>
        </w:rPr>
        <w:t xml:space="preserve">Labcon - Relevant Stories</w:t>
      </w:r>
      <w:r w:rsidDel="00000000" w:rsidR="00000000" w:rsidRPr="00000000">
        <w:rPr>
          <w:rtl w:val="0"/>
        </w:rPr>
      </w:r>
    </w:p>
    <w:p w:rsidR="00000000" w:rsidDel="00000000" w:rsidP="00000000" w:rsidRDefault="00000000" w:rsidRPr="00000000" w14:paraId="00000012">
      <w:pPr>
        <w:jc w:val="both"/>
        <w:rPr>
          <w:rFonts w:ascii="Raleway" w:cs="Raleway" w:eastAsia="Raleway" w:hAnsi="Raleway"/>
          <w:color w:val="222222"/>
          <w:sz w:val="18"/>
          <w:szCs w:val="18"/>
          <w:highlight w:val="white"/>
        </w:rPr>
      </w:pPr>
      <w:r w:rsidDel="00000000" w:rsidR="00000000" w:rsidRPr="00000000">
        <w:rPr>
          <w:rtl w:val="0"/>
        </w:rPr>
      </w:r>
    </w:p>
    <w:p w:rsidR="00000000" w:rsidDel="00000000" w:rsidP="00000000" w:rsidRDefault="00000000" w:rsidRPr="00000000" w14:paraId="00000013">
      <w:pPr>
        <w:jc w:val="both"/>
        <w:rPr>
          <w:rFonts w:ascii="Raleway" w:cs="Raleway" w:eastAsia="Raleway" w:hAnsi="Raleway"/>
          <w:sz w:val="18"/>
          <w:szCs w:val="18"/>
          <w:highlight w:val="white"/>
        </w:rPr>
      </w:pPr>
      <w:r w:rsidDel="00000000" w:rsidR="00000000" w:rsidRPr="00000000">
        <w:rPr>
          <w:rFonts w:ascii="Raleway" w:cs="Raleway" w:eastAsia="Raleway" w:hAnsi="Raleway"/>
          <w:sz w:val="18"/>
          <w:szCs w:val="18"/>
          <w:highlight w:val="white"/>
          <w:rtl w:val="0"/>
        </w:rPr>
        <w:t xml:space="preserve">Labcon to agencja tworząca komunikację, która angażuje konsumentów. Nagradzana w konkursach takich jak: Effie Awards (3 srebrne statuetki), MIXX Awards (złoto, brąz i wyróżnienie), Innovation Awards (brąz), Złote Spinacze (2 x złoto, srebro, brąz), Young Creatives Cannes (2 x nagroda główna) oraz w konkursie Klubu Twórców Reklamy (srebrny miecz). Wyróżniona nagrodą specjalną Międzynarodowego Festiwalu Kreatywności Golden Drum. Dzięki szerokim kompetencjom (strategia, social media, influencer marketing, PR, branding) Labcon tworzy rekomendacje przez pryzmat potrzeb klienta, a nie wąskiej specjalizacji. </w:t>
      </w:r>
    </w:p>
    <w:p w:rsidR="00000000" w:rsidDel="00000000" w:rsidP="00000000" w:rsidRDefault="00000000" w:rsidRPr="00000000" w14:paraId="00000014">
      <w:pPr>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5">
      <w:pPr>
        <w:spacing w:after="100" w:lineRule="auto"/>
        <w:jc w:val="left"/>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6">
      <w:pPr>
        <w:spacing w:after="100"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Dodatkowe informacje:</w:t>
      </w:r>
    </w:p>
    <w:p w:rsidR="00000000" w:rsidDel="00000000" w:rsidP="00000000" w:rsidRDefault="00000000" w:rsidRPr="00000000" w14:paraId="00000017">
      <w:pPr>
        <w:spacing w:after="100" w:lineRule="auto"/>
        <w:jc w:val="center"/>
        <w:rPr>
          <w:rFonts w:ascii="Raleway" w:cs="Raleway" w:eastAsia="Raleway" w:hAnsi="Raleway"/>
        </w:rPr>
      </w:pPr>
      <w:r w:rsidDel="00000000" w:rsidR="00000000" w:rsidRPr="00000000">
        <w:rPr>
          <w:rFonts w:ascii="Raleway" w:cs="Raleway" w:eastAsia="Raleway" w:hAnsi="Raleway"/>
          <w:sz w:val="18"/>
          <w:szCs w:val="18"/>
          <w:rtl w:val="0"/>
        </w:rPr>
        <w:t xml:space="preserve">Anna Łada-Grodzicka | Senior PR Specialist Group One</w:t>
        <w:br w:type="textWrapping"/>
        <w:t xml:space="preserve">anna.lada-grodzicka@groupone.com.pl | +48 452 484 127</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drawing>
        <wp:inline distB="114300" distT="114300" distL="114300" distR="114300">
          <wp:extent cx="5731200" cy="8382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drawing>
        <wp:inline distB="114300" distT="114300" distL="114300" distR="114300">
          <wp:extent cx="1881188" cy="300990"/>
          <wp:effectExtent b="0" l="0" r="0" t="0"/>
          <wp:docPr id="1" name="image2.png"/>
          <a:graphic>
            <a:graphicData uri="http://schemas.openxmlformats.org/drawingml/2006/picture">
              <pic:pic>
                <pic:nvPicPr>
                  <pic:cNvPr id="0" name="image2.png"/>
                  <pic:cNvPicPr preferRelativeResize="0"/>
                </pic:nvPicPr>
                <pic:blipFill>
                  <a:blip r:embed="rId1"/>
                  <a:srcRect b="41930" l="0" r="0" t="42263"/>
                  <a:stretch>
                    <a:fillRect/>
                  </a:stretch>
                </pic:blipFill>
                <pic:spPr>
                  <a:xfrm>
                    <a:off x="0" y="0"/>
                    <a:ext cx="1881188" cy="3009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