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1AD7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8"/>
          <w:szCs w:val="28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>Latas: O papel do alumínio nas embalagens circulares</w:t>
      </w:r>
    </w:p>
    <w:p w14:paraId="125D6886" w14:textId="0B60F56F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i/>
          <w:iCs/>
          <w:sz w:val="22"/>
          <w:lang w:val="pt-PT"/>
        </w:rPr>
        <w:t xml:space="preserve">As latas de alumínio continuam a ser uma das soluções mais fiáveis para embalagens de bebidas sustentáveis, apoiadas por sistemas de reciclagem bem estabelecidos nos mercados desenvolvidos. Atualmente, a convergência de tecnologias está a desbloquear novos níveis de conformidade e rastreabilidade, reforçando o papel do alumínio como um elemento essencial da circularidade. Como explica [Russell Wiseman, Head of Global Beverage Solutions,] </w:t>
      </w:r>
      <w:hyperlink r:id="rId6" w:history="1">
        <w:r w:rsidRPr="008F74D8">
          <w:rPr>
            <w:rStyle w:val="Hyperlink"/>
            <w:rFonts w:ascii="Noto Sans" w:eastAsia="Times New Roman" w:hAnsi="Noto Sans" w:cs="Noto Sans"/>
            <w:i/>
            <w:iCs/>
            <w:sz w:val="22"/>
            <w:lang w:val="pt-PT"/>
          </w:rPr>
          <w:t>Domino Printing Sciences</w:t>
        </w:r>
      </w:hyperlink>
      <w:r w:rsidRPr="008F74D8">
        <w:rPr>
          <w:rFonts w:ascii="Noto Sans" w:eastAsia="Times New Roman" w:hAnsi="Noto Sans" w:cs="Noto Sans"/>
          <w:i/>
          <w:iCs/>
          <w:sz w:val="22"/>
          <w:lang w:val="pt-PT"/>
        </w:rPr>
        <w:t xml:space="preserve"> (Domino), a solução de sustentabilidade mais poderosa para as embalagens de bebidas já está na sua mão.</w:t>
      </w:r>
    </w:p>
    <w:p w14:paraId="247F9BEC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2"/>
          <w:lang w:val="pt-PT"/>
        </w:rPr>
        <w:t>Alumínio é campeão circular</w:t>
      </w:r>
    </w:p>
    <w:p w14:paraId="4E8D6BE6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 xml:space="preserve">Com o esforço das marcas de bebidas em cumprir os objetivos da economia circular e reduzir as emissões de carbono, a capacidade de reciclagem e a eficiência fazem do alumínio uma escolha óbvia. Ao contrário do PET ou vidro, o alumínio é um verdadeiro material de ciclo fechado que pode ser reciclado infinitamente sem perder qualidade. As taxas </w:t>
      </w:r>
      <w:hyperlink r:id="rId7" w:history="1">
        <w:r w:rsidRPr="008F74D8">
          <w:rPr>
            <w:rFonts w:ascii="Noto Sans" w:eastAsia="Times New Roman" w:hAnsi="Noto Sans" w:cs="Noto Sans"/>
            <w:color w:val="0563C1"/>
            <w:sz w:val="22"/>
            <w:u w:val="single"/>
            <w:lang w:val="pt-PT"/>
          </w:rPr>
          <w:t>globais</w:t>
        </w:r>
      </w:hyperlink>
      <w:r w:rsidRPr="008F74D8">
        <w:rPr>
          <w:rFonts w:ascii="Noto Sans" w:eastAsia="Times New Roman" w:hAnsi="Noto Sans" w:cs="Noto Sans"/>
          <w:sz w:val="22"/>
          <w:lang w:val="pt-PT"/>
        </w:rPr>
        <w:t xml:space="preserve"> de reciclagem de alumínio situam-se em cerca de 75%, superando as garrafas PET (47%) e o vidro (42%), o que poupa cerca de 5,4 milhões de toneladas de CO₂ por ano.</w:t>
      </w:r>
    </w:p>
    <w:p w14:paraId="2271351E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 xml:space="preserve">A regulamentação está a acelerar o progresso da reciclagem. Ao abrigo do </w:t>
      </w:r>
      <w:hyperlink r:id="rId8" w:history="1">
        <w:r w:rsidRPr="008F74D8">
          <w:rPr>
            <w:rFonts w:ascii="Noto Sans" w:eastAsia="Times New Roman" w:hAnsi="Noto Sans" w:cs="Noto Sans"/>
            <w:color w:val="0563C1"/>
            <w:sz w:val="22"/>
            <w:u w:val="single"/>
            <w:lang w:val="pt-PT"/>
          </w:rPr>
          <w:t>Regulamento da UE relativo a embalagens e resíduos de embalagens</w:t>
        </w:r>
      </w:hyperlink>
      <w:r w:rsidRPr="008F74D8">
        <w:rPr>
          <w:rFonts w:ascii="Noto Sans" w:eastAsia="Times New Roman" w:hAnsi="Noto Sans" w:cs="Noto Sans"/>
          <w:sz w:val="22"/>
          <w:lang w:val="pt-PT"/>
        </w:rPr>
        <w:t xml:space="preserve"> (PPWR), as embalagens de alumínio devem atingir 50% de reciclagem até 2025 e 60% até 2030. Além disso, os requisitos rigorosos de design para a reciclabilidade da regulamentação estão a inspirar novas ideias no design de produtos e embalagens. Para as marcas de bebidas, o alumínio não é apenas uma escolha de embalagem, é uma estratégia de conformidade e um ativo de reputação.</w:t>
      </w:r>
    </w:p>
    <w:p w14:paraId="6C0F7C37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2"/>
          <w:lang w:val="pt-PT"/>
        </w:rPr>
        <w:t>Velocidade e precisão</w:t>
      </w:r>
    </w:p>
    <w:p w14:paraId="291D2C4A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color w:val="FF0000"/>
          <w:sz w:val="20"/>
          <w:szCs w:val="20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Mas a sustentabilidade não se esgota nas latas. Todas as fases da produção são importantes, incluindo a codificação que sustenta a conformidade e a rastreabilidade à escala. As linhas de produção de bebidas modernas excedem frequentemente 120 000 latas por hora. A este ritmo, a codificação é um fator crítico. Os erros ou falhas geram rapidamente custos elevados, resultando em recolhas dispendiosas, desperdício de produto e exposição a brechas regulamentares. Todas as latas têm de conter informações de rastreabilidade precisas para cumprir os requisitos regulamentares e dos revendedores.</w:t>
      </w:r>
    </w:p>
    <w:p w14:paraId="5F38D258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 xml:space="preserve">A indústria exige uma tecnologia de codificação que apoie as necessidades de operações rápidas e orientadas para a sustentabilidade. No entanto, os sistemas convencionais de jato de tinta podem ter dificuldades a estas velocidades. A consequente utilização excessiva de tintas introduz resíduos químicos, comprometendo os objetivos de sustentabilidade. Além disso, o impacto inevitável na produção não só atrasa as operações, como também acrescenta custos. </w:t>
      </w:r>
    </w:p>
    <w:p w14:paraId="21EA7467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2"/>
          <w:lang w:val="pt-PT"/>
        </w:rPr>
        <w:lastRenderedPageBreak/>
        <w:t>Codificação para a sustentabilidade</w:t>
      </w:r>
    </w:p>
    <w:p w14:paraId="3A80659D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As inovações recentes permitem que os fabricantes de bebidas reconsiderem a sua abordagem à sustentabilidade e conformidade. As novas tecnologias de alta velocidade e baixo desperdício, como a codificação a laser fibra, que produz códigos permanentes e de alta resolução sem tintas ou solventes, permitem que os fabricantes mantenham a sustentabilidade sem comprometer o rendimento do desempenho.</w:t>
      </w:r>
    </w:p>
    <w:p w14:paraId="6AC71BD6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As soluções inovadoras, como o Beverage Empty Can Coding System (BECCS) da Domino, transferem a codificação para montante, para a fase de lata vazia, contribuindo significativamente para a redução de resíduos e eficiência operacional. Ao codificar antes do enchimento, os fabricantes podem detetar erros atempadamente, evitando recolhas dispendiosas e a perda de produtos.</w:t>
      </w:r>
    </w:p>
    <w:p w14:paraId="7383DED8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2"/>
          <w:lang w:val="pt-PT"/>
        </w:rPr>
        <w:t>Eficaz operacionalmente</w:t>
      </w:r>
    </w:p>
    <w:p w14:paraId="2508F949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O BECCS foi concebido especificamente para linhas de alto rendimento em que a precisão, a velocidade e o baixo desperdício não são negociáveis. Para além do desempenho, o BECCS permite que as marcas mantenham a rastreabilidade da produção e cumpram os requisitos de etiquetagem da UE, sem sacrificar a eficiência.</w:t>
      </w:r>
    </w:p>
    <w:p w14:paraId="64501FE3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A tecnologia a laser fibra também acompanha o desempenho atual da produção a alta velocidade, atingindo velocidades de linha de 120 000 latas por hora. Além disso, os sistemas integrados de visualização e rejeição permitem a deteção de erros em tempo real, evitando que os códigos defeituosos cheguem ao mercado, reduzindo o desperdício e o tempo de paragem. Com um tempo médio entre falhas (MTBF) até 100 000 horas, estes sistemas inovadores também oferecem uma fiabilidade excecional.</w:t>
      </w:r>
    </w:p>
    <w:p w14:paraId="70E43468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Wiseman comenta: "A circularidade começa muito antes de uma lata chegar à prateleira. O alumínio oferece uma base infinitamente reciclável, mas o verdadeiro progresso vem de repensar cada passo da produção, incluindo a codificação. Mover a rastreabilidade para montante e eliminar consumíveis não é apenas eficiência operacional, é o segredo para a sustentabilidade prática em grande escala."</w:t>
      </w:r>
    </w:p>
    <w:p w14:paraId="7DBB7E07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es-ES"/>
        </w:rPr>
      </w:pPr>
      <w:r w:rsidRPr="008F74D8">
        <w:rPr>
          <w:rFonts w:ascii="Noto Sans" w:eastAsia="Times New Roman" w:hAnsi="Noto Sans" w:cs="Noto Sans"/>
          <w:b/>
          <w:bCs/>
          <w:sz w:val="22"/>
          <w:lang w:val="pt-PT"/>
        </w:rPr>
        <w:t>Fechar o ciclo</w:t>
      </w:r>
    </w:p>
    <w:p w14:paraId="1CDEC350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es-ES"/>
        </w:rPr>
      </w:pPr>
      <w:r w:rsidRPr="008F74D8">
        <w:rPr>
          <w:rFonts w:ascii="Noto Sans" w:eastAsia="Times New Roman" w:hAnsi="Noto Sans" w:cs="Noto Sans"/>
          <w:sz w:val="22"/>
          <w:lang w:val="pt-PT"/>
        </w:rPr>
        <w:t>As latas de alumínio e a codificação a laser fibra criam uma poderosa parceria de sustentabilidade. Em conjunto, permitem que as marcas de bebidas cumpram os objetivos da economia circular, reduzam as emissões de carbono e mantenham a agilidade da produção. Conforme a indústria avança para 80% de recuperação global de alumínio até 2030 e quase 100% até 2050, tecnologias como o BECCS desempenharão um papel fundamental no fecho do ciclo, garantindo que cada lata é codificada com precisão, eficiência e com o mínimo impacto ambiental.</w:t>
      </w:r>
    </w:p>
    <w:p w14:paraId="28F795C7" w14:textId="5B2A3FE2" w:rsid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  <w:lang w:val="pt-PT"/>
        </w:rPr>
      </w:pPr>
      <w:r>
        <w:rPr>
          <w:rFonts w:ascii="Noto Sans" w:eastAsia="Times New Roman" w:hAnsi="Noto Sans" w:cs="Noto Sans"/>
          <w:sz w:val="22"/>
          <w:lang w:val="pt-PT"/>
        </w:rPr>
        <w:t>&lt;</w:t>
      </w:r>
      <w:r w:rsidRPr="008F74D8">
        <w:rPr>
          <w:rFonts w:ascii="Noto Sans" w:eastAsia="Times New Roman" w:hAnsi="Noto Sans" w:cs="Noto Sans"/>
          <w:sz w:val="22"/>
          <w:lang w:val="pt-PT"/>
        </w:rPr>
        <w:t>FIM</w:t>
      </w:r>
      <w:r>
        <w:rPr>
          <w:rFonts w:ascii="Noto Sans" w:eastAsia="Times New Roman" w:hAnsi="Noto Sans" w:cs="Noto Sans"/>
          <w:sz w:val="22"/>
          <w:lang w:val="pt-PT"/>
        </w:rPr>
        <w:t>&gt;</w:t>
      </w:r>
    </w:p>
    <w:p w14:paraId="39C53C1A" w14:textId="77777777" w:rsidR="008F74D8" w:rsidRPr="002856FD" w:rsidRDefault="008F74D8" w:rsidP="008F74D8">
      <w:pPr>
        <w:spacing w:line="240" w:lineRule="auto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lastRenderedPageBreak/>
        <w:t>Isenção de responsabilidade</w:t>
      </w:r>
      <w:bookmarkEnd w:id="0"/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Tintas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Geral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Imagens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Vídeos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856FD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856FD">
        <w:rPr>
          <w:rFonts w:ascii="Noto Sans" w:hAnsi="Noto Sans" w:cs="Noto Sans"/>
          <w:b/>
          <w:bCs/>
          <w:color w:val="000000" w:themeColor="text1"/>
          <w:sz w:val="20"/>
          <w:szCs w:val="20"/>
          <w:lang w:val="pt"/>
        </w:rPr>
        <w:t>Acerca da Domino</w:t>
      </w:r>
    </w:p>
    <w:p w14:paraId="5E9F8165" w14:textId="77777777" w:rsidR="008F74D8" w:rsidRPr="002856FD" w:rsidRDefault="008F74D8" w:rsidP="008F74D8">
      <w:pPr>
        <w:spacing w:after="160"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  <w:r w:rsidRPr="002856FD">
        <w:rPr>
          <w:rFonts w:ascii="Noto Sans" w:hAnsi="Noto Sans" w:cs="Noto Sans"/>
          <w:sz w:val="20"/>
          <w:szCs w:val="20"/>
          <w:lang w:val="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</w:t>
      </w:r>
      <w:r w:rsidRPr="002856FD">
        <w:rPr>
          <w:rFonts w:ascii="Noto Sans" w:hAnsi="Noto Sans" w:cs="Noto Sans"/>
          <w:sz w:val="20"/>
          <w:szCs w:val="20"/>
          <w:lang w:val="pt"/>
        </w:rPr>
        <w:lastRenderedPageBreak/>
        <w:t xml:space="preserve">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 Domino tornou-se uma divisão independente da Brother Industries Ltd. a 11 de junho de 2015.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Para obter mais informações sobre a Domino,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visite </w:t>
      </w:r>
      <w:hyperlink r:id="rId9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www.domino-printing.com</w:t>
        </w:r>
      </w:hyperlink>
      <w:r w:rsidRPr="002856FD">
        <w:rPr>
          <w:rFonts w:ascii="Noto Sans" w:hAnsi="Noto Sans" w:cs="Noto Sans"/>
          <w:sz w:val="20"/>
          <w:szCs w:val="20"/>
          <w:lang w:val="pt"/>
        </w:rPr>
        <w:t xml:space="preserve">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Deverá contactar: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Alex Challinor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PR and Content Manager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Domino Printing Sciences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Tel.: +44 (0) 1954 778 780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hyperlink r:id="rId10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Alex.Challinor@domino-uk.com</w:t>
        </w:r>
      </w:hyperlink>
    </w:p>
    <w:p w14:paraId="2833E0A7" w14:textId="77777777" w:rsidR="008F74D8" w:rsidRPr="00A13A74" w:rsidRDefault="008F74D8" w:rsidP="008F74D8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Daniela Ribeiro</w:t>
      </w:r>
    </w:p>
    <w:p w14:paraId="693E1BCA" w14:textId="77777777" w:rsidR="008F74D8" w:rsidRPr="00A13A74" w:rsidRDefault="008F74D8" w:rsidP="008F74D8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Marketing and Communications Executive</w:t>
      </w:r>
    </w:p>
    <w:p w14:paraId="0EBD0C45" w14:textId="77777777" w:rsidR="008F74D8" w:rsidRPr="00A13A74" w:rsidRDefault="008F74D8" w:rsidP="008F74D8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Domino Portugal</w:t>
      </w:r>
    </w:p>
    <w:p w14:paraId="058C7E86" w14:textId="77777777" w:rsidR="008F74D8" w:rsidRPr="00A13A74" w:rsidRDefault="008F74D8" w:rsidP="008F74D8">
      <w:pPr>
        <w:spacing w:line="240" w:lineRule="auto"/>
        <w:rPr>
          <w:rFonts w:ascii="Noto Sans" w:eastAsiaTheme="minorHAnsi" w:hAnsi="Noto Sans" w:cs="Noto Sans"/>
          <w:sz w:val="20"/>
          <w:szCs w:val="20"/>
          <w:lang w:val="pt-PT"/>
        </w:rPr>
      </w:pPr>
      <w:r w:rsidRPr="00A13A74">
        <w:rPr>
          <w:rFonts w:ascii="Noto Sans" w:eastAsiaTheme="minorHAnsi" w:hAnsi="Noto Sans" w:cs="Noto Sans"/>
          <w:sz w:val="20"/>
          <w:szCs w:val="20"/>
          <w:lang w:val="pt-PT"/>
        </w:rPr>
        <w:t>Tel.: +351 919866148</w:t>
      </w:r>
    </w:p>
    <w:p w14:paraId="79DE8AC8" w14:textId="77777777" w:rsidR="008F74D8" w:rsidRPr="002B23C7" w:rsidRDefault="008F74D8" w:rsidP="008F74D8">
      <w:pPr>
        <w:spacing w:line="240" w:lineRule="auto"/>
        <w:rPr>
          <w:rFonts w:ascii="Noto Sans" w:eastAsiaTheme="minorHAnsi" w:hAnsi="Noto Sans" w:cs="Noto Sans"/>
          <w:sz w:val="22"/>
          <w:lang w:val="pt-PT"/>
        </w:rPr>
      </w:pPr>
      <w:hyperlink r:id="rId11" w:history="1">
        <w:r w:rsidRPr="00A13A74">
          <w:rPr>
            <w:rStyle w:val="Hyperlink"/>
            <w:rFonts w:ascii="Noto Sans" w:eastAsiaTheme="minorHAnsi" w:hAnsi="Noto Sans" w:cs="Noto Sans"/>
            <w:sz w:val="20"/>
            <w:szCs w:val="20"/>
            <w:lang w:val="pt-PT"/>
          </w:rPr>
          <w:t>Daniela.Ribeiro@domino-portugal.com</w:t>
        </w:r>
      </w:hyperlink>
      <w:r>
        <w:rPr>
          <w:rFonts w:ascii="Noto Sans" w:eastAsiaTheme="minorHAnsi" w:hAnsi="Noto Sans" w:cs="Noto Sans"/>
          <w:sz w:val="22"/>
          <w:lang w:val="pt-PT"/>
        </w:rPr>
        <w:t xml:space="preserve"> </w:t>
      </w:r>
    </w:p>
    <w:p w14:paraId="697F0C05" w14:textId="77777777" w:rsidR="008F74D8" w:rsidRPr="00A13A74" w:rsidRDefault="008F74D8" w:rsidP="008F74D8">
      <w:pPr>
        <w:spacing w:after="160" w:line="240" w:lineRule="auto"/>
        <w:rPr>
          <w:rFonts w:ascii="Noto Sans" w:eastAsiaTheme="minorHAnsi" w:hAnsi="Noto Sans" w:cs="Noto Sans"/>
          <w:color w:val="0D0D0D" w:themeColor="text1" w:themeTint="F2"/>
          <w:sz w:val="20"/>
          <w:szCs w:val="20"/>
          <w:lang w:val="pt-PT"/>
        </w:rPr>
      </w:pPr>
    </w:p>
    <w:bookmarkEnd w:id="1"/>
    <w:p w14:paraId="2FD6C32A" w14:textId="77777777" w:rsidR="008F74D8" w:rsidRPr="008F74D8" w:rsidRDefault="008F74D8" w:rsidP="008F74D8">
      <w:pPr>
        <w:spacing w:before="120" w:after="120" w:line="240" w:lineRule="auto"/>
        <w:rPr>
          <w:rFonts w:ascii="Noto Sans" w:eastAsia="Times New Roman" w:hAnsi="Noto Sans" w:cs="Noto Sans"/>
          <w:sz w:val="22"/>
        </w:rPr>
      </w:pPr>
    </w:p>
    <w:p w14:paraId="53EB7C38" w14:textId="77777777" w:rsidR="005524DB" w:rsidRDefault="005524DB" w:rsidP="008F74D8">
      <w:pPr>
        <w:pStyle w:val="NoSpacing"/>
      </w:pPr>
    </w:p>
    <w:sectPr w:rsidR="005524DB" w:rsidSect="000F6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15B" w14:textId="77777777" w:rsidR="009E564D" w:rsidRDefault="009E564D" w:rsidP="00785717">
      <w:pPr>
        <w:spacing w:line="240" w:lineRule="auto"/>
      </w:pPr>
      <w:r>
        <w:separator/>
      </w:r>
    </w:p>
  </w:endnote>
  <w:endnote w:type="continuationSeparator" w:id="0">
    <w:p w14:paraId="1486161E" w14:textId="77777777" w:rsidR="009E564D" w:rsidRDefault="009E564D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32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23E4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3A08" wp14:editId="0C311E39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36137F7" wp14:editId="53ACCE9A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A95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F7D1" w14:textId="77777777" w:rsidR="009E564D" w:rsidRDefault="009E564D" w:rsidP="00785717">
      <w:pPr>
        <w:spacing w:line="240" w:lineRule="auto"/>
      </w:pPr>
      <w:r>
        <w:separator/>
      </w:r>
    </w:p>
  </w:footnote>
  <w:footnote w:type="continuationSeparator" w:id="0">
    <w:p w14:paraId="0DC7B38E" w14:textId="77777777" w:rsidR="009E564D" w:rsidRDefault="009E564D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E0BA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583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D8042" wp14:editId="1D9E5B1D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02A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D"/>
    <w:rsid w:val="0002201E"/>
    <w:rsid w:val="000F6D00"/>
    <w:rsid w:val="00113106"/>
    <w:rsid w:val="001D743C"/>
    <w:rsid w:val="002766D9"/>
    <w:rsid w:val="002C3337"/>
    <w:rsid w:val="00372E92"/>
    <w:rsid w:val="00457093"/>
    <w:rsid w:val="004D3D98"/>
    <w:rsid w:val="005272B1"/>
    <w:rsid w:val="005524DB"/>
    <w:rsid w:val="005741C7"/>
    <w:rsid w:val="00647055"/>
    <w:rsid w:val="00660F46"/>
    <w:rsid w:val="00682566"/>
    <w:rsid w:val="00785717"/>
    <w:rsid w:val="008220B7"/>
    <w:rsid w:val="00823B77"/>
    <w:rsid w:val="008916A8"/>
    <w:rsid w:val="008B6461"/>
    <w:rsid w:val="008F3E38"/>
    <w:rsid w:val="008F74D8"/>
    <w:rsid w:val="00931996"/>
    <w:rsid w:val="00943A95"/>
    <w:rsid w:val="009A1716"/>
    <w:rsid w:val="009A1DEC"/>
    <w:rsid w:val="009D6280"/>
    <w:rsid w:val="009E564D"/>
    <w:rsid w:val="00A34918"/>
    <w:rsid w:val="00AB11DA"/>
    <w:rsid w:val="00B23C3C"/>
    <w:rsid w:val="00B546C5"/>
    <w:rsid w:val="00BB7927"/>
    <w:rsid w:val="00BC7C15"/>
    <w:rsid w:val="00C063FE"/>
    <w:rsid w:val="00C44603"/>
    <w:rsid w:val="00C541FE"/>
    <w:rsid w:val="00CF1AD5"/>
    <w:rsid w:val="00E03029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75E0C"/>
  <w15:chartTrackingRefBased/>
  <w15:docId w15:val="{C5FE791E-4976-45BD-8795-31D7E3D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ec.europa.eu/topics/waste-and-recycling/packaging-waste_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talpackager.com/2025/11/aluminium-beverage-can-recycling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home.aspx?utm_medium=non-paid&amp;utm_source=onlinepublication&amp;utm_content=sb-aluminiums-role-in-circular-packaging-pt&amp;utm_campaign=2026-int-pt-global-pr-cm-fy25-q4" TargetMode="External"/><Relationship Id="rId11" Type="http://schemas.openxmlformats.org/officeDocument/2006/relationships/hyperlink" Target="mailto:Daniela.Ribeiro@domino-portuga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lex.Challinor@domino-uk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domino-printing.p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1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2</cp:revision>
  <dcterms:created xsi:type="dcterms:W3CDTF">2026-02-06T10:42:00Z</dcterms:created>
  <dcterms:modified xsi:type="dcterms:W3CDTF">2026-02-06T10:42:00Z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8c460ca5-f23d-4821-b40e-ba4a1f2458c0</vt:lpwstr>
  </property>
</Properties>
</file>