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441EB" w14:textId="69832DC5" w:rsidR="00C6498E" w:rsidRDefault="00C6498E" w:rsidP="00C6498E">
      <w:pPr>
        <w:rPr>
          <w:bCs/>
        </w:rPr>
      </w:pPr>
      <w:r w:rsidRPr="00C6498E">
        <w:rPr>
          <w:bCs/>
        </w:rPr>
        <w:t>Informacja prasowa</w:t>
      </w:r>
    </w:p>
    <w:p w14:paraId="1F620B0A" w14:textId="0017BFD0" w:rsidR="00C6498E" w:rsidRPr="00C6498E" w:rsidRDefault="00C6498E" w:rsidP="00C6498E">
      <w:pPr>
        <w:jc w:val="right"/>
        <w:rPr>
          <w:bCs/>
        </w:rPr>
      </w:pPr>
      <w:r w:rsidRPr="00C6498E">
        <w:rPr>
          <w:bCs/>
        </w:rPr>
        <w:t xml:space="preserve">Warszawa, </w:t>
      </w:r>
      <w:r w:rsidR="007D70FE">
        <w:rPr>
          <w:bCs/>
        </w:rPr>
        <w:t>0</w:t>
      </w:r>
      <w:r w:rsidR="00956952">
        <w:rPr>
          <w:bCs/>
        </w:rPr>
        <w:t>6</w:t>
      </w:r>
      <w:r w:rsidR="00FB33AC">
        <w:rPr>
          <w:bCs/>
        </w:rPr>
        <w:t>.</w:t>
      </w:r>
      <w:r w:rsidR="007D70FE">
        <w:rPr>
          <w:bCs/>
        </w:rPr>
        <w:t>0</w:t>
      </w:r>
      <w:r w:rsidR="00B57353">
        <w:rPr>
          <w:bCs/>
        </w:rPr>
        <w:t>3</w:t>
      </w:r>
      <w:r w:rsidRPr="00C6498E">
        <w:rPr>
          <w:bCs/>
        </w:rPr>
        <w:t>.202</w:t>
      </w:r>
      <w:r w:rsidR="007D70FE">
        <w:rPr>
          <w:bCs/>
        </w:rPr>
        <w:t>5</w:t>
      </w:r>
      <w:r>
        <w:rPr>
          <w:bCs/>
        </w:rPr>
        <w:t xml:space="preserve"> r. </w:t>
      </w:r>
    </w:p>
    <w:p w14:paraId="10AF6196" w14:textId="77777777" w:rsidR="007C70BB" w:rsidRDefault="00B57353" w:rsidP="00775556">
      <w:pPr>
        <w:jc w:val="both"/>
        <w:rPr>
          <w:b/>
        </w:rPr>
      </w:pPr>
      <w:r>
        <w:rPr>
          <w:b/>
          <w:sz w:val="32"/>
          <w:szCs w:val="32"/>
        </w:rPr>
        <w:t xml:space="preserve">Półka z winami musującymi: </w:t>
      </w:r>
      <w:r w:rsidR="00A05964">
        <w:rPr>
          <w:b/>
          <w:sz w:val="32"/>
          <w:szCs w:val="32"/>
        </w:rPr>
        <w:t>Badanie</w:t>
      </w:r>
      <w:r w:rsidR="00B244BF">
        <w:rPr>
          <w:b/>
          <w:sz w:val="32"/>
          <w:szCs w:val="32"/>
        </w:rPr>
        <w:t xml:space="preserve"> ekspozycji</w:t>
      </w:r>
      <w:r w:rsidR="00A05964">
        <w:rPr>
          <w:b/>
          <w:sz w:val="32"/>
          <w:szCs w:val="32"/>
        </w:rPr>
        <w:t xml:space="preserve"> </w:t>
      </w:r>
      <w:r w:rsidR="00B244BF">
        <w:rPr>
          <w:b/>
          <w:sz w:val="32"/>
          <w:szCs w:val="32"/>
        </w:rPr>
        <w:t xml:space="preserve">pokazuje, </w:t>
      </w:r>
      <w:r>
        <w:rPr>
          <w:b/>
          <w:sz w:val="32"/>
          <w:szCs w:val="32"/>
        </w:rPr>
        <w:t>z którymi markami najczęściej świętujemy</w:t>
      </w:r>
      <w:r w:rsidR="005D5B25" w:rsidRPr="005D5B25">
        <w:rPr>
          <w:b/>
        </w:rPr>
        <w:t xml:space="preserve"> </w:t>
      </w:r>
    </w:p>
    <w:p w14:paraId="1AB39F6B" w14:textId="6D8D9582" w:rsidR="00C3046B" w:rsidRPr="00775556" w:rsidRDefault="00DA6471" w:rsidP="00775556">
      <w:pPr>
        <w:jc w:val="both"/>
        <w:rPr>
          <w:b/>
          <w:sz w:val="32"/>
          <w:szCs w:val="32"/>
        </w:rPr>
      </w:pPr>
      <w:r w:rsidRPr="00DA6471">
        <w:rPr>
          <w:b/>
        </w:rPr>
        <w:t xml:space="preserve">Wina musujące od lat </w:t>
      </w:r>
      <w:r w:rsidR="00D47EBD">
        <w:rPr>
          <w:b/>
        </w:rPr>
        <w:t>towarzyszą celebracji ważnych chwil</w:t>
      </w:r>
      <w:r w:rsidRPr="00DA6471">
        <w:rPr>
          <w:b/>
        </w:rPr>
        <w:t xml:space="preserve"> – </w:t>
      </w:r>
      <w:r w:rsidR="00D715EC" w:rsidRPr="00D715EC">
        <w:rPr>
          <w:b/>
        </w:rPr>
        <w:t>są chętnie wybierane zarówno na kameralne spotkania, jak i przy okazji najważniejszych uroczystości</w:t>
      </w:r>
      <w:r w:rsidRPr="00DA6471">
        <w:rPr>
          <w:b/>
        </w:rPr>
        <w:t>.</w:t>
      </w:r>
      <w:r w:rsidR="001860B2">
        <w:rPr>
          <w:b/>
        </w:rPr>
        <w:t xml:space="preserve"> </w:t>
      </w:r>
      <w:r w:rsidRPr="00DA6471">
        <w:rPr>
          <w:b/>
        </w:rPr>
        <w:t>Popularność tej kategorii</w:t>
      </w:r>
      <w:r w:rsidR="001860B2">
        <w:rPr>
          <w:b/>
        </w:rPr>
        <w:t xml:space="preserve"> </w:t>
      </w:r>
      <w:r w:rsidRPr="00DA6471">
        <w:rPr>
          <w:b/>
        </w:rPr>
        <w:t>znajduje odzwierciedlenie również w danych rynkowych: mimo spadków w ogólnej sprzedaży alkoholu, segment win musujących</w:t>
      </w:r>
      <w:r w:rsidR="001860B2">
        <w:rPr>
          <w:b/>
        </w:rPr>
        <w:t xml:space="preserve"> w Polsce</w:t>
      </w:r>
      <w:r w:rsidRPr="00DA6471">
        <w:rPr>
          <w:b/>
        </w:rPr>
        <w:t xml:space="preserve"> nadal rośnie.</w:t>
      </w:r>
      <w:r>
        <w:rPr>
          <w:b/>
        </w:rPr>
        <w:t xml:space="preserve"> </w:t>
      </w:r>
      <w:r w:rsidRPr="00DA6471">
        <w:rPr>
          <w:b/>
        </w:rPr>
        <w:t>Jak wygląda ich obecność na sklepowych półkach?</w:t>
      </w:r>
      <w:r>
        <w:rPr>
          <w:b/>
        </w:rPr>
        <w:t xml:space="preserve"> </w:t>
      </w:r>
      <w:r w:rsidR="005D5B25" w:rsidRPr="005D5B25">
        <w:rPr>
          <w:b/>
        </w:rPr>
        <w:t xml:space="preserve">eLeader, wykorzystując swoje narzędzie Shelf Recognition AI, przeanalizował ekspozycję </w:t>
      </w:r>
      <w:r w:rsidR="004328E8">
        <w:rPr>
          <w:b/>
        </w:rPr>
        <w:t>win musujących</w:t>
      </w:r>
      <w:r w:rsidR="005D5B25" w:rsidRPr="005D5B25">
        <w:rPr>
          <w:b/>
        </w:rPr>
        <w:t xml:space="preserve"> </w:t>
      </w:r>
      <w:r w:rsidR="004328E8">
        <w:rPr>
          <w:b/>
        </w:rPr>
        <w:t xml:space="preserve">w wybranych sieciach handlowych </w:t>
      </w:r>
      <w:r w:rsidR="005D5B25" w:rsidRPr="005D5B25">
        <w:rPr>
          <w:b/>
        </w:rPr>
        <w:t>i zidentyfikował brandy, które</w:t>
      </w:r>
      <w:r w:rsidR="004328E8">
        <w:rPr>
          <w:b/>
        </w:rPr>
        <w:t xml:space="preserve"> pojawiają się na niej najczęściej.</w:t>
      </w:r>
      <w:r w:rsidR="005D5B25" w:rsidRPr="005D5B25">
        <w:rPr>
          <w:b/>
        </w:rPr>
        <w:t xml:space="preserve"> </w:t>
      </w:r>
      <w:r w:rsidR="004328E8" w:rsidRPr="004328E8">
        <w:rPr>
          <w:b/>
        </w:rPr>
        <w:t>Analiza w</w:t>
      </w:r>
      <w:r w:rsidR="004328E8">
        <w:rPr>
          <w:b/>
        </w:rPr>
        <w:t>ykazała</w:t>
      </w:r>
      <w:r w:rsidR="004328E8" w:rsidRPr="004328E8">
        <w:rPr>
          <w:b/>
        </w:rPr>
        <w:t xml:space="preserve"> przy tym coraz większą różnorodność oferty.</w:t>
      </w:r>
    </w:p>
    <w:p w14:paraId="3FF78398" w14:textId="09368E39" w:rsidR="00F55771" w:rsidRDefault="0065702C" w:rsidP="00586A2F">
      <w:pPr>
        <w:jc w:val="both"/>
      </w:pPr>
      <w:r>
        <w:t>Co piąta złotówka z całkowitego rynku win w Polsce jest przeznaczana właśnie na wina musujące.</w:t>
      </w:r>
      <w:r>
        <w:rPr>
          <w:rStyle w:val="Odwoanieprzypisudolnego"/>
        </w:rPr>
        <w:footnoteReference w:id="1"/>
      </w:r>
      <w:r w:rsidR="004328E8" w:rsidRPr="004328E8">
        <w:t xml:space="preserve"> Produkty </w:t>
      </w:r>
      <w:r w:rsidR="00E425A7">
        <w:t xml:space="preserve">z tej kategorii często </w:t>
      </w:r>
      <w:r w:rsidR="00D715EC" w:rsidRPr="00D715EC">
        <w:t xml:space="preserve">są obecne podczas </w:t>
      </w:r>
      <w:r w:rsidR="00D715EC">
        <w:t xml:space="preserve">świętowania </w:t>
      </w:r>
      <w:r w:rsidR="00D715EC" w:rsidRPr="00D715EC">
        <w:t>wyjątkowych okazji</w:t>
      </w:r>
      <w:r w:rsidR="00E425A7">
        <w:t>,</w:t>
      </w:r>
      <w:r w:rsidR="00786C34">
        <w:t xml:space="preserve"> a także</w:t>
      </w:r>
      <w:r w:rsidR="00E425A7">
        <w:t xml:space="preserve"> są popularnym prezentem</w:t>
      </w:r>
      <w:r w:rsidR="00786C34">
        <w:t>.</w:t>
      </w:r>
      <w:r w:rsidR="000D2619">
        <w:t xml:space="preserve"> </w:t>
      </w:r>
      <w:r w:rsidR="006315BF">
        <w:t>e</w:t>
      </w:r>
      <w:r w:rsidR="00725418" w:rsidRPr="00725418">
        <w:t>Leader, spółka technologiczna specjalizująca się w dostarczaniu rozwiązań do wspierania sprzedaży,</w:t>
      </w:r>
      <w:r w:rsidR="00725418">
        <w:t xml:space="preserve"> sprawdziła jak w ciągu</w:t>
      </w:r>
      <w:r w:rsidR="000D2619">
        <w:t xml:space="preserve"> całego 2025 roku oraz w styczniu br. </w:t>
      </w:r>
      <w:r w:rsidR="00EA0D89">
        <w:t>wyglądała półka win musujących</w:t>
      </w:r>
      <w:r w:rsidR="00504425">
        <w:t>.</w:t>
      </w:r>
      <w:r w:rsidR="000D2619">
        <w:t xml:space="preserve"> </w:t>
      </w:r>
      <w:r w:rsidR="00504425">
        <w:t xml:space="preserve">Badanie przybliża obecną sytuację w branży </w:t>
      </w:r>
      <w:r w:rsidR="000D2619">
        <w:t xml:space="preserve">i </w:t>
      </w:r>
      <w:r w:rsidR="00504425">
        <w:t xml:space="preserve">wskazuje liderów w kategorii. </w:t>
      </w:r>
      <w:r w:rsidR="000D2619">
        <w:t xml:space="preserve">Z analizy wynika, że szczególnie wyróżniają się trzy marki: Monte Santi, Mionetto i Martini, </w:t>
      </w:r>
      <w:r w:rsidR="003C3E57" w:rsidRPr="003C3E57">
        <w:t xml:space="preserve">których </w:t>
      </w:r>
      <w:r w:rsidR="003C3E57">
        <w:t>obecność na</w:t>
      </w:r>
      <w:r w:rsidR="003C3E57" w:rsidRPr="003C3E57">
        <w:t xml:space="preserve"> ekspozycji pozostaj</w:t>
      </w:r>
      <w:r w:rsidR="003C3E57">
        <w:t>e na bardzo zbliżonym poziomie</w:t>
      </w:r>
      <w:r w:rsidR="003C3E57" w:rsidRPr="003C3E57">
        <w:t>.</w:t>
      </w:r>
      <w:r w:rsidR="003C3E57">
        <w:t xml:space="preserve"> </w:t>
      </w:r>
      <w:r w:rsidR="003C3E57" w:rsidRPr="003C3E57">
        <w:t>Jednocześnie w ciągu roku wszystkie trzy nieco straciły na udziale, a sama kategoria stała się bardziej zróżnicowana pod względem dostępnego asortymentu.</w:t>
      </w:r>
    </w:p>
    <w:p w14:paraId="34C3FDF9" w14:textId="15A04158" w:rsidR="00481966" w:rsidRPr="00481966" w:rsidRDefault="00481966" w:rsidP="00586A2F">
      <w:pPr>
        <w:jc w:val="both"/>
        <w:rPr>
          <w:iCs/>
          <w:color w:val="000000" w:themeColor="text1"/>
        </w:rPr>
      </w:pPr>
      <w:r w:rsidRPr="00481966">
        <w:rPr>
          <w:i/>
          <w:color w:val="000000" w:themeColor="text1"/>
        </w:rPr>
        <w:t xml:space="preserve">- </w:t>
      </w:r>
      <w:r w:rsidR="003C3E57" w:rsidRPr="003C3E57">
        <w:rPr>
          <w:i/>
          <w:color w:val="000000" w:themeColor="text1"/>
        </w:rPr>
        <w:t>Dzień Kobiet to jeden z tych momentów w roku, kiedy zainteresowanie winami musującymi wyraźnie rośnie. Są one postrzegane jako elegancki, wciąż jeszcze kulturowo bezpieczny prezent i prosty sposób na podkreślenie wyjątkowej okazji. Względnie wyrównane udziały półkowe w ekspozycji regularnej wskazują na konieczność zadbania o akcje promocyjne i skuteczne pokrycie powierzchni sprzedażowej ekspozytorami, których atrakcyjność wizualna w ostatnich latach potrafi być dla alkoholi imponująca. Z drugiej strony, przy zwiększającej się głębokości kategorii, wiele osób 8 marca może postawić na mniej popularne, ale dobrze widoczne w sklepie marki</w:t>
      </w:r>
      <w:r w:rsidR="003C3E57">
        <w:rPr>
          <w:i/>
          <w:color w:val="000000" w:themeColor="text1"/>
        </w:rPr>
        <w:t xml:space="preserve"> </w:t>
      </w:r>
      <w:r w:rsidRPr="00481966">
        <w:rPr>
          <w:i/>
          <w:color w:val="000000" w:themeColor="text1"/>
        </w:rPr>
        <w:t xml:space="preserve">– </w:t>
      </w:r>
      <w:r w:rsidRPr="00481966">
        <w:rPr>
          <w:iCs/>
          <w:color w:val="000000" w:themeColor="text1"/>
        </w:rPr>
        <w:t>mówi Paweł Majsiej, Chief of Shelf Recognition AI w eLeader.</w:t>
      </w:r>
    </w:p>
    <w:p w14:paraId="5A92C017" w14:textId="16076540" w:rsidR="00310719" w:rsidRDefault="00310719" w:rsidP="00586A2F">
      <w:pPr>
        <w:jc w:val="both"/>
        <w:rPr>
          <w:b/>
          <w:iCs/>
        </w:rPr>
      </w:pPr>
      <w:r w:rsidRPr="00310719">
        <w:rPr>
          <w:b/>
          <w:iCs/>
        </w:rPr>
        <w:t>Najbardziej widoczne marki win musujących</w:t>
      </w:r>
    </w:p>
    <w:p w14:paraId="41F58ADF" w14:textId="1522C716" w:rsidR="00F27613" w:rsidRDefault="00E81891" w:rsidP="00F27613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Konkurencja na półkach z winami musującymi jest bardzo zacięta. </w:t>
      </w:r>
      <w:r w:rsidR="005E20B6" w:rsidRPr="005E20B6">
        <w:rPr>
          <w:color w:val="000000" w:themeColor="text1"/>
        </w:rPr>
        <w:t xml:space="preserve">Trzy marki </w:t>
      </w:r>
      <w:r w:rsidR="005E20B6">
        <w:rPr>
          <w:color w:val="000000" w:themeColor="text1"/>
        </w:rPr>
        <w:t xml:space="preserve">o największej widoczności </w:t>
      </w:r>
      <w:r w:rsidR="005E20B6" w:rsidRPr="005E20B6">
        <w:rPr>
          <w:color w:val="000000" w:themeColor="text1"/>
        </w:rPr>
        <w:t xml:space="preserve">– Monte Santi, Mionetto i Martini – utrzymują </w:t>
      </w:r>
      <w:r w:rsidR="005E20B6">
        <w:rPr>
          <w:color w:val="000000" w:themeColor="text1"/>
        </w:rPr>
        <w:t>bardzo zbliżone</w:t>
      </w:r>
      <w:r w:rsidR="005E20B6" w:rsidRPr="005E20B6">
        <w:rPr>
          <w:color w:val="000000" w:themeColor="text1"/>
        </w:rPr>
        <w:t xml:space="preserve"> udziały</w:t>
      </w:r>
      <w:r w:rsidR="005E20B6">
        <w:rPr>
          <w:color w:val="000000" w:themeColor="text1"/>
        </w:rPr>
        <w:t xml:space="preserve"> w ekspozycji</w:t>
      </w:r>
      <w:r w:rsidR="005E20B6" w:rsidRPr="005E20B6">
        <w:rPr>
          <w:color w:val="000000" w:themeColor="text1"/>
        </w:rPr>
        <w:t>, mieszczące się w przedziale 7–10</w:t>
      </w:r>
      <w:r w:rsidR="00956952">
        <w:rPr>
          <w:color w:val="000000" w:themeColor="text1"/>
        </w:rPr>
        <w:t xml:space="preserve"> porc</w:t>
      </w:r>
      <w:r w:rsidR="005E20B6" w:rsidRPr="005E20B6">
        <w:rPr>
          <w:color w:val="000000" w:themeColor="text1"/>
        </w:rPr>
        <w:t>. W efekcie w ciągu roku kilkukrotnie zmieniały się na pozycji lidera. W styczniu i czerwcu 2025 roku najczęściej widoczne było Martini, od lutego do maja prowadziło Mionetto, natomiast w drugiej połowie roku przewagę zyskało Monte Santi. Według najnowszych danych eLeader również w styczniu 2026 roku marka ta pozostawała najbardziej widoczna na półkach. Jednocześnie wyróżniała się największą obecnością w hipermarketach i relatywnie mniejszą w dyskontach.</w:t>
      </w:r>
    </w:p>
    <w:p w14:paraId="05EAF540" w14:textId="06F34B56" w:rsidR="005E20B6" w:rsidRDefault="005E20B6" w:rsidP="00F27613">
      <w:pPr>
        <w:jc w:val="both"/>
        <w:rPr>
          <w:color w:val="000000" w:themeColor="text1"/>
        </w:rPr>
      </w:pPr>
      <w:r w:rsidRPr="005E20B6">
        <w:rPr>
          <w:color w:val="000000" w:themeColor="text1"/>
        </w:rPr>
        <w:t>Silną konkurencję widać także wśród marek z kolejnych miejsc. Dorato, Cin&amp;Cin i Fresco również rywalizowały o przestrzeń sprzedażową, utrzymując w ciągu roku udziały w ekspozycji na poziomie 5–7</w:t>
      </w:r>
      <w:r w:rsidR="00956952">
        <w:rPr>
          <w:color w:val="000000" w:themeColor="text1"/>
        </w:rPr>
        <w:t xml:space="preserve"> proc</w:t>
      </w:r>
      <w:r w:rsidRPr="005E20B6">
        <w:rPr>
          <w:color w:val="000000" w:themeColor="text1"/>
        </w:rPr>
        <w:t xml:space="preserve">. W ich przypadku widoczność była wyraźnie większa w hipermarketach niż w dyskontach. Dane wskazują ponadto, że większość najpopularniejszych marek win musujących w analizowanym okresie </w:t>
      </w:r>
      <w:r w:rsidRPr="005E20B6">
        <w:rPr>
          <w:color w:val="000000" w:themeColor="text1"/>
        </w:rPr>
        <w:lastRenderedPageBreak/>
        <w:t xml:space="preserve">straciła część miejsca na półkach, co może świadczyć o rosnącej różnorodności oferty w tej kategorii. </w:t>
      </w:r>
      <w:r>
        <w:rPr>
          <w:color w:val="000000" w:themeColor="text1"/>
        </w:rPr>
        <w:t xml:space="preserve">Czołowe brandy stopniowo ustępują </w:t>
      </w:r>
      <w:r w:rsidR="00074A44">
        <w:rPr>
          <w:color w:val="000000" w:themeColor="text1"/>
        </w:rPr>
        <w:t>pol</w:t>
      </w:r>
      <w:r>
        <w:rPr>
          <w:color w:val="000000" w:themeColor="text1"/>
        </w:rPr>
        <w:t>a mniejszym, wśród których znajdują się zarówno</w:t>
      </w:r>
      <w:r w:rsidR="00074A44">
        <w:rPr>
          <w:color w:val="000000" w:themeColor="text1"/>
        </w:rPr>
        <w:t xml:space="preserve"> marki</w:t>
      </w:r>
      <w:r>
        <w:rPr>
          <w:color w:val="000000" w:themeColor="text1"/>
        </w:rPr>
        <w:t xml:space="preserve"> własne</w:t>
      </w:r>
      <w:r w:rsidR="00276DF1">
        <w:rPr>
          <w:color w:val="000000" w:themeColor="text1"/>
        </w:rPr>
        <w:t xml:space="preserve"> sieci, jak</w:t>
      </w:r>
      <w:r w:rsidR="00074A44">
        <w:rPr>
          <w:color w:val="000000" w:themeColor="text1"/>
        </w:rPr>
        <w:t xml:space="preserve"> </w:t>
      </w:r>
      <w:r w:rsidR="00F130E1">
        <w:rPr>
          <w:color w:val="000000" w:themeColor="text1"/>
        </w:rPr>
        <w:t xml:space="preserve">i </w:t>
      </w:r>
      <w:r w:rsidR="00074A44">
        <w:rPr>
          <w:color w:val="000000" w:themeColor="text1"/>
        </w:rPr>
        <w:t xml:space="preserve">marki pojawiające się w danej sieci na wyłączność, często jako oferta ograniczona czasowo. </w:t>
      </w:r>
      <w:r w:rsidRPr="005E20B6">
        <w:rPr>
          <w:color w:val="000000" w:themeColor="text1"/>
        </w:rPr>
        <w:t>Wyjątkiem wśród sześciu najczęściej eksponowanych brandów było Fresco, które wzmocniło swoją pozycję. Monte Santi z kolei odnotowało największy wzrost ekspozycji w dyskontach – z 3,96</w:t>
      </w:r>
      <w:r w:rsidR="00F130E1">
        <w:rPr>
          <w:color w:val="000000" w:themeColor="text1"/>
        </w:rPr>
        <w:t xml:space="preserve"> proc.</w:t>
      </w:r>
      <w:r w:rsidRPr="005E20B6">
        <w:rPr>
          <w:color w:val="000000" w:themeColor="text1"/>
        </w:rPr>
        <w:t xml:space="preserve"> w styczniu 2025 roku do 6,47</w:t>
      </w:r>
      <w:r w:rsidR="00F130E1">
        <w:rPr>
          <w:color w:val="000000" w:themeColor="text1"/>
        </w:rPr>
        <w:t xml:space="preserve"> proc.</w:t>
      </w:r>
      <w:r w:rsidRPr="005E20B6">
        <w:rPr>
          <w:color w:val="000000" w:themeColor="text1"/>
        </w:rPr>
        <w:t xml:space="preserve"> w styczniu 2026 roku – przy jednoczesnym spadku widoczności w hipermarketach.</w:t>
      </w:r>
    </w:p>
    <w:p w14:paraId="31BE0A85" w14:textId="13971509" w:rsidR="003B7FA9" w:rsidRPr="00956952" w:rsidRDefault="00956952" w:rsidP="00956952">
      <w:pPr>
        <w:jc w:val="both"/>
        <w:rPr>
          <w:i/>
          <w:color w:val="000000" w:themeColor="text1"/>
          <w:lang w:val="en-US"/>
        </w:rPr>
      </w:pPr>
      <w:r w:rsidRPr="00956952">
        <w:rPr>
          <w:noProof/>
          <w:color w:val="000000" w:themeColor="text1"/>
          <w:lang w:val="en-US"/>
        </w:rPr>
        <w:drawing>
          <wp:inline distT="0" distB="0" distL="0" distR="0" wp14:anchorId="021316B2" wp14:editId="09E2136C">
            <wp:extent cx="5760720" cy="3240405"/>
            <wp:effectExtent l="0" t="0" r="0" b="0"/>
            <wp:docPr id="132895879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8803A" w14:textId="392B0819" w:rsidR="00BE50AE" w:rsidRPr="00BE50AE" w:rsidRDefault="00BE50AE" w:rsidP="003B7FA9">
      <w:pPr>
        <w:jc w:val="both"/>
        <w:rPr>
          <w:iCs/>
          <w:color w:val="000000" w:themeColor="text1"/>
          <w:sz w:val="20"/>
          <w:szCs w:val="20"/>
        </w:rPr>
      </w:pPr>
      <w:r w:rsidRPr="00BE50AE">
        <w:rPr>
          <w:iCs/>
          <w:color w:val="000000" w:themeColor="text1"/>
          <w:sz w:val="20"/>
          <w:szCs w:val="20"/>
        </w:rPr>
        <w:t>eLeader, Udziały marek na półce w kategorii wina musujące</w:t>
      </w:r>
    </w:p>
    <w:p w14:paraId="09F92EAE" w14:textId="1A9C7ABB" w:rsidR="00826FCF" w:rsidRPr="00761A6A" w:rsidRDefault="00761A6A" w:rsidP="00586A2F">
      <w:pPr>
        <w:jc w:val="both"/>
        <w:rPr>
          <w:i/>
          <w:iCs/>
          <w:color w:val="000000" w:themeColor="text1"/>
        </w:rPr>
      </w:pPr>
      <w:r w:rsidRPr="00761A6A">
        <w:rPr>
          <w:i/>
          <w:iCs/>
          <w:color w:val="000000" w:themeColor="text1"/>
        </w:rPr>
        <w:t xml:space="preserve">– Spadek widoczności </w:t>
      </w:r>
      <w:r>
        <w:rPr>
          <w:i/>
          <w:iCs/>
          <w:color w:val="000000" w:themeColor="text1"/>
        </w:rPr>
        <w:t>znan</w:t>
      </w:r>
      <w:r w:rsidRPr="00761A6A">
        <w:rPr>
          <w:i/>
          <w:iCs/>
          <w:color w:val="000000" w:themeColor="text1"/>
        </w:rPr>
        <w:t>ych marek może być powiązany ze wzrostem znaczenia marek w</w:t>
      </w:r>
      <w:r>
        <w:rPr>
          <w:i/>
          <w:iCs/>
          <w:color w:val="000000" w:themeColor="text1"/>
        </w:rPr>
        <w:t>yłącznyc</w:t>
      </w:r>
      <w:r w:rsidRPr="00761A6A">
        <w:rPr>
          <w:i/>
          <w:iCs/>
          <w:color w:val="000000" w:themeColor="text1"/>
        </w:rPr>
        <w:t>h win musujących w sklepach. Nasze analizy wskazują, że sieci coraz częściej rozszerzają ofertę produktów dostępnych wyłącznie w ich sklepach. W niektórych hipermarketach można znaleźć nawet do 11 brandów dostępnych tylko w ramach jednej sieci. Sprawia to, że konsumenci mogą chętniej decydować się na mniej znane marki – mówi Iwona Puchacz-Wośko, analityk ekspozycji w eLeader.</w:t>
      </w:r>
    </w:p>
    <w:p w14:paraId="2E817CAA" w14:textId="2D2480A3" w:rsidR="00BD1CC9" w:rsidRDefault="00BE50AE" w:rsidP="00586A2F">
      <w:pPr>
        <w:jc w:val="both"/>
        <w:rPr>
          <w:iCs/>
          <w:color w:val="000000" w:themeColor="text1"/>
        </w:rPr>
      </w:pPr>
      <w:r>
        <w:rPr>
          <w:b/>
          <w:iCs/>
        </w:rPr>
        <w:t xml:space="preserve">Producenci win musujących </w:t>
      </w:r>
      <w:r w:rsidR="0036122C">
        <w:rPr>
          <w:b/>
          <w:iCs/>
        </w:rPr>
        <w:t>na półkach</w:t>
      </w:r>
    </w:p>
    <w:p w14:paraId="390AEF33" w14:textId="00DFE36A" w:rsidR="00D437FB" w:rsidRDefault="00BE50AE" w:rsidP="0036122C">
      <w:pPr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Spośród producentów wyłania się jeden główny lider kategorii – firma Ambra</w:t>
      </w:r>
      <w:r w:rsidR="00276DF1">
        <w:rPr>
          <w:iCs/>
          <w:color w:val="000000" w:themeColor="text1"/>
        </w:rPr>
        <w:t xml:space="preserve">. </w:t>
      </w:r>
      <w:r w:rsidR="00231E3B">
        <w:rPr>
          <w:iCs/>
          <w:color w:val="000000" w:themeColor="text1"/>
        </w:rPr>
        <w:t xml:space="preserve">Przez cały </w:t>
      </w:r>
      <w:r w:rsidR="00276DF1" w:rsidRPr="00276DF1">
        <w:rPr>
          <w:iCs/>
          <w:color w:val="000000" w:themeColor="text1"/>
        </w:rPr>
        <w:t xml:space="preserve">2025 rok jej udziały w ekspozycji utrzymywały się </w:t>
      </w:r>
      <w:r w:rsidR="00986B48">
        <w:rPr>
          <w:iCs/>
          <w:color w:val="000000" w:themeColor="text1"/>
        </w:rPr>
        <w:t>powyżej poziomu 20 proc. Choć odnotowała największy spadek widoczności</w:t>
      </w:r>
      <w:r w:rsidR="00276DF1" w:rsidRPr="00276DF1">
        <w:rPr>
          <w:iCs/>
          <w:color w:val="000000" w:themeColor="text1"/>
        </w:rPr>
        <w:t xml:space="preserve"> </w:t>
      </w:r>
      <w:r w:rsidR="00231E3B">
        <w:rPr>
          <w:iCs/>
          <w:color w:val="000000" w:themeColor="text1"/>
        </w:rPr>
        <w:t xml:space="preserve">– z 26,6 proc. w styczniu 2025 do 22,33 proc. w styczniu 2026 - </w:t>
      </w:r>
      <w:r w:rsidR="00276DF1" w:rsidRPr="00276DF1">
        <w:rPr>
          <w:iCs/>
          <w:color w:val="000000" w:themeColor="text1"/>
        </w:rPr>
        <w:t>we wszystkich analizowanych kanałach sprzedaży</w:t>
      </w:r>
      <w:r w:rsidR="00FF2A04">
        <w:rPr>
          <w:iCs/>
          <w:color w:val="000000" w:themeColor="text1"/>
        </w:rPr>
        <w:t xml:space="preserve"> </w:t>
      </w:r>
      <w:r w:rsidR="00276DF1" w:rsidRPr="00276DF1">
        <w:rPr>
          <w:iCs/>
          <w:color w:val="000000" w:themeColor="text1"/>
        </w:rPr>
        <w:t>to właśnie produkty tej firmy zajmowały największą część półek</w:t>
      </w:r>
      <w:r w:rsidR="00F130E1">
        <w:rPr>
          <w:iCs/>
          <w:color w:val="000000" w:themeColor="text1"/>
        </w:rPr>
        <w:t>.</w:t>
      </w:r>
      <w:r w:rsidR="0079761E">
        <w:rPr>
          <w:iCs/>
          <w:color w:val="000000" w:themeColor="text1"/>
        </w:rPr>
        <w:t xml:space="preserve"> </w:t>
      </w:r>
      <w:r w:rsidR="00276DF1" w:rsidRPr="00276DF1">
        <w:rPr>
          <w:iCs/>
          <w:color w:val="000000" w:themeColor="text1"/>
        </w:rPr>
        <w:t>Silną obecność zachowywał również Henkell Freixenet</w:t>
      </w:r>
      <w:r w:rsidR="00231E3B">
        <w:rPr>
          <w:iCs/>
          <w:color w:val="000000" w:themeColor="text1"/>
        </w:rPr>
        <w:t xml:space="preserve">, choć też zanotował spadek </w:t>
      </w:r>
      <w:r w:rsidR="00276DF1" w:rsidRPr="00276DF1">
        <w:rPr>
          <w:iCs/>
          <w:color w:val="000000" w:themeColor="text1"/>
        </w:rPr>
        <w:t xml:space="preserve">z 16,42 proc. do 12,99 proc. Najmniejsze zmiany </w:t>
      </w:r>
      <w:r w:rsidR="00231E3B">
        <w:rPr>
          <w:iCs/>
          <w:color w:val="000000" w:themeColor="text1"/>
        </w:rPr>
        <w:t xml:space="preserve">dotknęły </w:t>
      </w:r>
      <w:r w:rsidR="00276DF1" w:rsidRPr="00276DF1">
        <w:rPr>
          <w:iCs/>
          <w:color w:val="000000" w:themeColor="text1"/>
        </w:rPr>
        <w:t xml:space="preserve"> JNT Group, którego udział w ekspozycji zmniejszył się jedynie o 0,7 p.p., osiągając 12,05 proc. w styczniu br. W czołówce najbardziej widocznych producentów pozostaje także Bacardi Martini, odpowiadający za 8,22 proc. przestrzeni półkowej w tej kategorii.</w:t>
      </w:r>
    </w:p>
    <w:p w14:paraId="5FBC71C8" w14:textId="31F4C009" w:rsidR="0051383E" w:rsidRPr="00956952" w:rsidRDefault="00276DF1" w:rsidP="00956952">
      <w:pPr>
        <w:jc w:val="both"/>
        <w:rPr>
          <w:iCs/>
          <w:color w:val="000000" w:themeColor="text1"/>
        </w:rPr>
      </w:pPr>
      <w:r w:rsidRPr="00276DF1">
        <w:rPr>
          <w:i/>
          <w:color w:val="000000" w:themeColor="text1"/>
        </w:rPr>
        <w:t xml:space="preserve">– Spadek widoczności największych producentów nie oznacza kurczenia się kategorii. Wręcz przeciwnie – struktura asortymentowa win musujących w sklepach wyraźnie się rozszerza, zarówno w hipermarketach, jak i w dyskontach. W części sieci rok do roku liczba produktów w tej kategorii wzrosła nawet o 55 proc., co potwierdza rosnącą różnorodność oferty dostępnej dla konsumentów – </w:t>
      </w:r>
      <w:r w:rsidRPr="00956952">
        <w:rPr>
          <w:iCs/>
          <w:color w:val="000000" w:themeColor="text1"/>
        </w:rPr>
        <w:t xml:space="preserve">komentuje Iwona Puchacz-Wośko, analityk ekspozycji w eLeader. </w:t>
      </w:r>
    </w:p>
    <w:p w14:paraId="168FB87F" w14:textId="42CBBA5F" w:rsidR="00710494" w:rsidRPr="00956952" w:rsidRDefault="00956952" w:rsidP="00D9133F">
      <w:pPr>
        <w:jc w:val="both"/>
      </w:pPr>
      <w:r w:rsidRPr="00956952">
        <w:rPr>
          <w:i/>
          <w:noProof/>
          <w:color w:val="000000" w:themeColor="text1"/>
          <w:lang w:val="en-US"/>
        </w:rPr>
        <w:lastRenderedPageBreak/>
        <w:drawing>
          <wp:inline distT="0" distB="0" distL="0" distR="0" wp14:anchorId="6334CAA0" wp14:editId="28240BB6">
            <wp:extent cx="5760720" cy="3240405"/>
            <wp:effectExtent l="0" t="0" r="0" b="0"/>
            <wp:docPr id="198908396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52E6A" w14:textId="4202A621" w:rsidR="00710494" w:rsidRPr="00710494" w:rsidRDefault="00710494" w:rsidP="00710494">
      <w:pPr>
        <w:jc w:val="both"/>
        <w:rPr>
          <w:bCs/>
          <w:i/>
          <w:sz w:val="20"/>
          <w:szCs w:val="20"/>
        </w:rPr>
      </w:pPr>
      <w:r w:rsidRPr="00710494">
        <w:rPr>
          <w:bCs/>
          <w:i/>
          <w:sz w:val="20"/>
          <w:szCs w:val="20"/>
        </w:rPr>
        <w:t xml:space="preserve">eLeader, Udziały </w:t>
      </w:r>
      <w:r w:rsidR="00F27613">
        <w:rPr>
          <w:bCs/>
          <w:i/>
          <w:sz w:val="20"/>
          <w:szCs w:val="20"/>
        </w:rPr>
        <w:t>producentów na</w:t>
      </w:r>
      <w:r w:rsidRPr="00710494">
        <w:rPr>
          <w:bCs/>
          <w:i/>
          <w:sz w:val="20"/>
          <w:szCs w:val="20"/>
        </w:rPr>
        <w:t xml:space="preserve"> półce w kategorii </w:t>
      </w:r>
      <w:r w:rsidR="009504F7">
        <w:rPr>
          <w:bCs/>
          <w:i/>
          <w:sz w:val="20"/>
          <w:szCs w:val="20"/>
        </w:rPr>
        <w:t>wina musujące</w:t>
      </w:r>
    </w:p>
    <w:p w14:paraId="3EAF3FCF" w14:textId="54C5DCC7" w:rsidR="006F4BC0" w:rsidRPr="006F4BC0" w:rsidRDefault="006F4BC0" w:rsidP="006F4BC0">
      <w:pPr>
        <w:jc w:val="both"/>
        <w:rPr>
          <w:bCs/>
        </w:rPr>
      </w:pPr>
      <w:r w:rsidRPr="006F4BC0">
        <w:rPr>
          <w:bCs/>
        </w:rPr>
        <w:t xml:space="preserve">Badanie ekspozycji </w:t>
      </w:r>
      <w:r w:rsidR="009504F7">
        <w:rPr>
          <w:bCs/>
        </w:rPr>
        <w:t xml:space="preserve">win musujących na </w:t>
      </w:r>
      <w:r w:rsidR="00310D0D">
        <w:rPr>
          <w:bCs/>
        </w:rPr>
        <w:t>półkach</w:t>
      </w:r>
      <w:r w:rsidR="005C5817">
        <w:rPr>
          <w:bCs/>
        </w:rPr>
        <w:t>,</w:t>
      </w:r>
      <w:r w:rsidR="00310D0D">
        <w:rPr>
          <w:bCs/>
        </w:rPr>
        <w:t xml:space="preserve"> </w:t>
      </w:r>
      <w:r w:rsidRPr="006F4BC0">
        <w:rPr>
          <w:bCs/>
        </w:rPr>
        <w:t>eLeader</w:t>
      </w:r>
      <w:r w:rsidR="00310D0D">
        <w:rPr>
          <w:bCs/>
        </w:rPr>
        <w:t xml:space="preserve"> </w:t>
      </w:r>
      <w:r w:rsidR="005B2ACA">
        <w:rPr>
          <w:bCs/>
        </w:rPr>
        <w:t>wykona</w:t>
      </w:r>
      <w:r w:rsidR="00310D0D">
        <w:rPr>
          <w:bCs/>
        </w:rPr>
        <w:t>ł</w:t>
      </w:r>
      <w:r w:rsidR="005B2ACA">
        <w:rPr>
          <w:bCs/>
        </w:rPr>
        <w:t xml:space="preserve"> </w:t>
      </w:r>
      <w:r w:rsidR="00277711">
        <w:rPr>
          <w:bCs/>
        </w:rPr>
        <w:t>na podstawie danych z 1</w:t>
      </w:r>
      <w:r w:rsidR="00364742">
        <w:rPr>
          <w:bCs/>
        </w:rPr>
        <w:t>0</w:t>
      </w:r>
      <w:r w:rsidRPr="006F4BC0">
        <w:rPr>
          <w:bCs/>
        </w:rPr>
        <w:t xml:space="preserve"> sieci handlowych za pomocą </w:t>
      </w:r>
      <w:r w:rsidR="005B2ACA">
        <w:rPr>
          <w:bCs/>
        </w:rPr>
        <w:t xml:space="preserve">narzędzia </w:t>
      </w:r>
      <w:r w:rsidRPr="006F4BC0">
        <w:rPr>
          <w:bCs/>
        </w:rPr>
        <w:t>Shelf Recognition AI, któr</w:t>
      </w:r>
      <w:r w:rsidR="005B2ACA">
        <w:rPr>
          <w:bCs/>
        </w:rPr>
        <w:t>e</w:t>
      </w:r>
      <w:r w:rsidRPr="006F4BC0">
        <w:rPr>
          <w:bCs/>
        </w:rPr>
        <w:t xml:space="preserve"> umożliwia producentom automatyczną analizę ekspozycji jedynie za pomocą zdjęcia sklepowej półki wykonanego smartfonem. Nie jest to pierwsze takie badanie przeprowadzone przez polską firmę. Wcześniej eLe</w:t>
      </w:r>
      <w:r w:rsidR="00B40557">
        <w:rPr>
          <w:bCs/>
        </w:rPr>
        <w:t>a</w:t>
      </w:r>
      <w:r w:rsidRPr="006F4BC0">
        <w:rPr>
          <w:bCs/>
        </w:rPr>
        <w:t>d</w:t>
      </w:r>
      <w:r w:rsidR="00B40557">
        <w:rPr>
          <w:bCs/>
        </w:rPr>
        <w:t>e</w:t>
      </w:r>
      <w:r w:rsidRPr="006F4BC0">
        <w:rPr>
          <w:bCs/>
        </w:rPr>
        <w:t>r wykorzystał t</w:t>
      </w:r>
      <w:r w:rsidR="006E3E9B">
        <w:rPr>
          <w:bCs/>
        </w:rPr>
        <w:t>ę</w:t>
      </w:r>
      <w:r w:rsidRPr="006F4BC0">
        <w:rPr>
          <w:bCs/>
        </w:rPr>
        <w:t xml:space="preserve"> samą technologię, by przedstawić m.in. ekspozycje </w:t>
      </w:r>
      <w:r w:rsidR="009504F7">
        <w:rPr>
          <w:bCs/>
        </w:rPr>
        <w:t xml:space="preserve">napojów, </w:t>
      </w:r>
      <w:r w:rsidRPr="006F4BC0">
        <w:rPr>
          <w:bCs/>
        </w:rPr>
        <w:t>piw</w:t>
      </w:r>
      <w:r w:rsidR="00310D0D">
        <w:rPr>
          <w:bCs/>
        </w:rPr>
        <w:t xml:space="preserve">, musów w tubkach czy </w:t>
      </w:r>
      <w:r w:rsidRPr="006F4BC0">
        <w:rPr>
          <w:bCs/>
        </w:rPr>
        <w:t>napojów energetycznych.</w:t>
      </w:r>
      <w:r w:rsidR="005B2ACA">
        <w:rPr>
          <w:bCs/>
        </w:rPr>
        <w:t xml:space="preserve"> Wyniki </w:t>
      </w:r>
      <w:r w:rsidR="00310D0D">
        <w:rPr>
          <w:bCs/>
        </w:rPr>
        <w:t xml:space="preserve">wszystkich </w:t>
      </w:r>
      <w:r w:rsidR="005B2ACA">
        <w:rPr>
          <w:bCs/>
        </w:rPr>
        <w:t xml:space="preserve">badań można znaleźć na stronie eLeader. </w:t>
      </w:r>
      <w:r w:rsidRPr="006F4BC0">
        <w:rPr>
          <w:bCs/>
        </w:rPr>
        <w:t xml:space="preserve"> </w:t>
      </w:r>
    </w:p>
    <w:p w14:paraId="229603F0" w14:textId="4A5FADB6" w:rsidR="00D17096" w:rsidRDefault="00D17096" w:rsidP="006F4BC0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eLeader</w:t>
      </w:r>
      <w:r>
        <w:rPr>
          <w:sz w:val="18"/>
          <w:szCs w:val="18"/>
        </w:rPr>
        <w:t xml:space="preserve"> to </w:t>
      </w:r>
      <w:r w:rsidR="00993CC8">
        <w:rPr>
          <w:sz w:val="18"/>
          <w:szCs w:val="18"/>
        </w:rPr>
        <w:t>spółka technologiczna</w:t>
      </w:r>
      <w:r>
        <w:rPr>
          <w:sz w:val="18"/>
          <w:szCs w:val="18"/>
        </w:rPr>
        <w:t xml:space="preserve"> specjalizująca się w dostarczaniu narzędzi wspierających realizację strategii sprzedażowej w terenie. Opracowuje mobilne systemy SFA/FFM ze sztuczną inteligencją usprawniającą m.in. pozycjonowanie produktów na półkach oraz zarządzanie zamówieniami, audytami i reklamacjami. eLeader funkcjonuje od 2000 roku. Od tego czasu rozwiązania firmy zostały doceniane są przez globalne ośrodki analityczne, m.in. Gartner, POI i wdrożone przez międzynarodowe koncerny w ponad 80 krajach. Wśród klientów marki są takie firmy jak </w:t>
      </w:r>
      <w:r w:rsidR="00F46A0A" w:rsidRPr="00F46A0A">
        <w:rPr>
          <w:sz w:val="18"/>
          <w:szCs w:val="18"/>
        </w:rPr>
        <w:t>Develey</w:t>
      </w:r>
      <w:r w:rsidR="00F46A0A">
        <w:rPr>
          <w:sz w:val="18"/>
          <w:szCs w:val="18"/>
        </w:rPr>
        <w:t xml:space="preserve">, </w:t>
      </w:r>
      <w:r>
        <w:rPr>
          <w:sz w:val="18"/>
          <w:szCs w:val="18"/>
        </w:rPr>
        <w:t>Frosta</w:t>
      </w:r>
      <w:r w:rsidR="003273B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czy Danone. W swoich działaniach eLeader stawia na partnerstwo oraz szerokie możliwości dostosowania się do klienta i zmian. Tworzy nowoczesne i niezawodne systemy, spełniające indywidualne potrzeby firm. Więcej informacji na temat firmy na: </w:t>
      </w:r>
      <w:hyperlink r:id="rId10" w:history="1">
        <w:r>
          <w:rPr>
            <w:rStyle w:val="Hipercze"/>
            <w:sz w:val="18"/>
            <w:szCs w:val="18"/>
          </w:rPr>
          <w:t>https://www.eleader.biz</w:t>
        </w:r>
      </w:hyperlink>
      <w:r>
        <w:rPr>
          <w:sz w:val="18"/>
          <w:szCs w:val="18"/>
        </w:rPr>
        <w:t xml:space="preserve"> </w:t>
      </w:r>
    </w:p>
    <w:p w14:paraId="09E0458E" w14:textId="77777777" w:rsidR="00CC499C" w:rsidRDefault="00CC499C" w:rsidP="00CC499C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Kontakt dla mediów:</w:t>
      </w:r>
    </w:p>
    <w:p w14:paraId="7BD8FCC6" w14:textId="77777777" w:rsidR="00CC499C" w:rsidRDefault="00CC499C" w:rsidP="00CC499C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Joanna Kuciel</w:t>
      </w:r>
    </w:p>
    <w:p w14:paraId="4E662DDE" w14:textId="77777777" w:rsidR="00CC499C" w:rsidRDefault="00CC499C" w:rsidP="00CC499C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e-mail: </w:t>
      </w:r>
      <w:hyperlink r:id="rId11" w:history="1">
        <w:r>
          <w:rPr>
            <w:rStyle w:val="Hipercze"/>
            <w:color w:val="0563C1"/>
            <w:sz w:val="18"/>
            <w:szCs w:val="18"/>
          </w:rPr>
          <w:t>joanna.kuciel@goodonepr.pl</w:t>
        </w:r>
      </w:hyperlink>
    </w:p>
    <w:p w14:paraId="2B4BBD59" w14:textId="41F6E9F9" w:rsidR="005E6305" w:rsidRPr="00C6498E" w:rsidRDefault="00CC499C">
      <w:pPr>
        <w:rPr>
          <w:lang w:val="en-US"/>
        </w:rPr>
      </w:pPr>
      <w:r>
        <w:rPr>
          <w:sz w:val="18"/>
          <w:szCs w:val="18"/>
          <w:lang w:val="en-US"/>
        </w:rPr>
        <w:t xml:space="preserve">Tel.: </w:t>
      </w:r>
      <w:r>
        <w:rPr>
          <w:sz w:val="18"/>
          <w:szCs w:val="18"/>
          <w:highlight w:val="white"/>
          <w:lang w:val="en-US"/>
        </w:rPr>
        <w:t>+48</w:t>
      </w:r>
      <w:r>
        <w:rPr>
          <w:b/>
          <w:sz w:val="18"/>
          <w:szCs w:val="18"/>
          <w:highlight w:val="white"/>
          <w:lang w:val="en-US"/>
        </w:rPr>
        <w:t> </w:t>
      </w:r>
      <w:r>
        <w:rPr>
          <w:sz w:val="18"/>
          <w:szCs w:val="18"/>
          <w:highlight w:val="white"/>
          <w:lang w:val="en-US"/>
        </w:rPr>
        <w:t>796 996 272</w:t>
      </w:r>
    </w:p>
    <w:sectPr w:rsidR="005E6305" w:rsidRPr="00C6498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E0163" w14:textId="77777777" w:rsidR="00CF4BF9" w:rsidRDefault="00CF4BF9" w:rsidP="00086FB7">
      <w:pPr>
        <w:spacing w:after="0" w:line="240" w:lineRule="auto"/>
      </w:pPr>
      <w:r>
        <w:separator/>
      </w:r>
    </w:p>
  </w:endnote>
  <w:endnote w:type="continuationSeparator" w:id="0">
    <w:p w14:paraId="127F752D" w14:textId="77777777" w:rsidR="00CF4BF9" w:rsidRDefault="00CF4BF9" w:rsidP="00086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0A766" w14:textId="77777777" w:rsidR="00CF4BF9" w:rsidRDefault="00CF4BF9" w:rsidP="00086FB7">
      <w:pPr>
        <w:spacing w:after="0" w:line="240" w:lineRule="auto"/>
      </w:pPr>
      <w:r>
        <w:separator/>
      </w:r>
    </w:p>
  </w:footnote>
  <w:footnote w:type="continuationSeparator" w:id="0">
    <w:p w14:paraId="1A677690" w14:textId="77777777" w:rsidR="00CF4BF9" w:rsidRDefault="00CF4BF9" w:rsidP="00086FB7">
      <w:pPr>
        <w:spacing w:after="0" w:line="240" w:lineRule="auto"/>
      </w:pPr>
      <w:r>
        <w:continuationSeparator/>
      </w:r>
    </w:p>
  </w:footnote>
  <w:footnote w:id="1">
    <w:p w14:paraId="73769528" w14:textId="3436706B" w:rsidR="0065702C" w:rsidRDefault="0065702C" w:rsidP="00C8380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8380F">
        <w:t>Nielsen IQ, A</w:t>
      </w:r>
      <w:r w:rsidR="00C8380F" w:rsidRPr="00C8380F">
        <w:t>lcoholic</w:t>
      </w:r>
      <w:r w:rsidR="00C8380F">
        <w:t xml:space="preserve">  B</w:t>
      </w:r>
      <w:r w:rsidR="00C8380F" w:rsidRPr="00C8380F">
        <w:t>everages</w:t>
      </w:r>
      <w:r w:rsidR="00C8380F">
        <w:t xml:space="preserve"> I</w:t>
      </w:r>
      <w:r w:rsidR="00C8380F" w:rsidRPr="00C8380F">
        <w:t>n</w:t>
      </w:r>
      <w:r w:rsidR="00C8380F">
        <w:t xml:space="preserve"> P</w:t>
      </w:r>
      <w:r w:rsidR="00C8380F" w:rsidRPr="00C8380F">
        <w:t>oland</w:t>
      </w:r>
      <w:r w:rsidR="00C8380F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47EF4" w14:textId="09D30109" w:rsidR="00086FB7" w:rsidRDefault="00D1709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EDB652C" wp14:editId="37B076FC">
          <wp:simplePos x="0" y="0"/>
          <wp:positionH relativeFrom="column">
            <wp:posOffset>-619125</wp:posOffset>
          </wp:positionH>
          <wp:positionV relativeFrom="paragraph">
            <wp:posOffset>-457835</wp:posOffset>
          </wp:positionV>
          <wp:extent cx="5744210" cy="1055370"/>
          <wp:effectExtent l="0" t="0" r="0" b="0"/>
          <wp:wrapNone/>
          <wp:docPr id="2" name="Obraz 2" descr="dokument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kumenty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4210" cy="1055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64C44"/>
    <w:multiLevelType w:val="hybridMultilevel"/>
    <w:tmpl w:val="2042D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C0B1D"/>
    <w:multiLevelType w:val="hybridMultilevel"/>
    <w:tmpl w:val="89E48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322BF"/>
    <w:multiLevelType w:val="hybridMultilevel"/>
    <w:tmpl w:val="40403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65E3E"/>
    <w:multiLevelType w:val="hybridMultilevel"/>
    <w:tmpl w:val="6F28A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1668E"/>
    <w:multiLevelType w:val="hybridMultilevel"/>
    <w:tmpl w:val="33A6D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F13FA"/>
    <w:multiLevelType w:val="hybridMultilevel"/>
    <w:tmpl w:val="0B1ED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383879">
    <w:abstractNumId w:val="0"/>
  </w:num>
  <w:num w:numId="2" w16cid:durableId="1923441139">
    <w:abstractNumId w:val="1"/>
  </w:num>
  <w:num w:numId="3" w16cid:durableId="2037072848">
    <w:abstractNumId w:val="4"/>
  </w:num>
  <w:num w:numId="4" w16cid:durableId="1073817900">
    <w:abstractNumId w:val="5"/>
  </w:num>
  <w:num w:numId="5" w16cid:durableId="234248572">
    <w:abstractNumId w:val="2"/>
  </w:num>
  <w:num w:numId="6" w16cid:durableId="181238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KwMLawMDI3NzE2MzBX0lEKTi0uzszPAykwrgUAO+hZ+ywAAAA="/>
  </w:docVars>
  <w:rsids>
    <w:rsidRoot w:val="00693272"/>
    <w:rsid w:val="00000717"/>
    <w:rsid w:val="000012CD"/>
    <w:rsid w:val="000022DA"/>
    <w:rsid w:val="00022A0D"/>
    <w:rsid w:val="0003548C"/>
    <w:rsid w:val="000436C7"/>
    <w:rsid w:val="00043EE1"/>
    <w:rsid w:val="00051A89"/>
    <w:rsid w:val="00053960"/>
    <w:rsid w:val="00061008"/>
    <w:rsid w:val="0006443B"/>
    <w:rsid w:val="00070DED"/>
    <w:rsid w:val="00071746"/>
    <w:rsid w:val="00072614"/>
    <w:rsid w:val="000734A6"/>
    <w:rsid w:val="000749A0"/>
    <w:rsid w:val="00074A44"/>
    <w:rsid w:val="000851C7"/>
    <w:rsid w:val="00086FB7"/>
    <w:rsid w:val="000933D5"/>
    <w:rsid w:val="00097CD7"/>
    <w:rsid w:val="000B67D9"/>
    <w:rsid w:val="000B7433"/>
    <w:rsid w:val="000C2008"/>
    <w:rsid w:val="000C3874"/>
    <w:rsid w:val="000C4B47"/>
    <w:rsid w:val="000D2619"/>
    <w:rsid w:val="000E4C0F"/>
    <w:rsid w:val="000E6813"/>
    <w:rsid w:val="000F0C0A"/>
    <w:rsid w:val="000F0D0D"/>
    <w:rsid w:val="000F0E56"/>
    <w:rsid w:val="000F42F3"/>
    <w:rsid w:val="00100B81"/>
    <w:rsid w:val="0010409C"/>
    <w:rsid w:val="001073FE"/>
    <w:rsid w:val="00120E21"/>
    <w:rsid w:val="001270E2"/>
    <w:rsid w:val="00131502"/>
    <w:rsid w:val="00131A78"/>
    <w:rsid w:val="00132714"/>
    <w:rsid w:val="001522BE"/>
    <w:rsid w:val="0017099D"/>
    <w:rsid w:val="00175874"/>
    <w:rsid w:val="001761A3"/>
    <w:rsid w:val="0017725B"/>
    <w:rsid w:val="00177654"/>
    <w:rsid w:val="0018183F"/>
    <w:rsid w:val="001860B2"/>
    <w:rsid w:val="00194402"/>
    <w:rsid w:val="00196741"/>
    <w:rsid w:val="001A1261"/>
    <w:rsid w:val="001A1AA6"/>
    <w:rsid w:val="001B076A"/>
    <w:rsid w:val="001B4EE4"/>
    <w:rsid w:val="001B63FD"/>
    <w:rsid w:val="001B728E"/>
    <w:rsid w:val="001C0B6A"/>
    <w:rsid w:val="001C645C"/>
    <w:rsid w:val="001D3E0D"/>
    <w:rsid w:val="001D71AE"/>
    <w:rsid w:val="001E58DA"/>
    <w:rsid w:val="001F428F"/>
    <w:rsid w:val="001F6776"/>
    <w:rsid w:val="00204E8D"/>
    <w:rsid w:val="0021152C"/>
    <w:rsid w:val="00211F33"/>
    <w:rsid w:val="00214271"/>
    <w:rsid w:val="002142B3"/>
    <w:rsid w:val="002222B9"/>
    <w:rsid w:val="002236CD"/>
    <w:rsid w:val="00227D7D"/>
    <w:rsid w:val="00231823"/>
    <w:rsid w:val="00231E3B"/>
    <w:rsid w:val="002400B5"/>
    <w:rsid w:val="00246082"/>
    <w:rsid w:val="00260C5E"/>
    <w:rsid w:val="002639BC"/>
    <w:rsid w:val="0026500D"/>
    <w:rsid w:val="0026649F"/>
    <w:rsid w:val="00274930"/>
    <w:rsid w:val="00276DF1"/>
    <w:rsid w:val="00277711"/>
    <w:rsid w:val="00280F45"/>
    <w:rsid w:val="002813AD"/>
    <w:rsid w:val="00286C31"/>
    <w:rsid w:val="002925C0"/>
    <w:rsid w:val="002927BA"/>
    <w:rsid w:val="00293F79"/>
    <w:rsid w:val="0029518B"/>
    <w:rsid w:val="002956CD"/>
    <w:rsid w:val="00295948"/>
    <w:rsid w:val="002A38F4"/>
    <w:rsid w:val="002C2D5E"/>
    <w:rsid w:val="002D0416"/>
    <w:rsid w:val="002D1B49"/>
    <w:rsid w:val="002D1C95"/>
    <w:rsid w:val="002E6CEE"/>
    <w:rsid w:val="002F18F8"/>
    <w:rsid w:val="002F1B8D"/>
    <w:rsid w:val="003005A0"/>
    <w:rsid w:val="00302020"/>
    <w:rsid w:val="003021AA"/>
    <w:rsid w:val="00303D9C"/>
    <w:rsid w:val="00310719"/>
    <w:rsid w:val="00310D0D"/>
    <w:rsid w:val="0031504A"/>
    <w:rsid w:val="0031514C"/>
    <w:rsid w:val="0032049B"/>
    <w:rsid w:val="00324575"/>
    <w:rsid w:val="003273B1"/>
    <w:rsid w:val="00330727"/>
    <w:rsid w:val="00332158"/>
    <w:rsid w:val="00346C73"/>
    <w:rsid w:val="003504FB"/>
    <w:rsid w:val="00352A12"/>
    <w:rsid w:val="00354741"/>
    <w:rsid w:val="00356EFE"/>
    <w:rsid w:val="0036122C"/>
    <w:rsid w:val="00364742"/>
    <w:rsid w:val="00370DAC"/>
    <w:rsid w:val="0038031F"/>
    <w:rsid w:val="003808E3"/>
    <w:rsid w:val="0038282A"/>
    <w:rsid w:val="00382C83"/>
    <w:rsid w:val="00384594"/>
    <w:rsid w:val="00386A2E"/>
    <w:rsid w:val="003943FD"/>
    <w:rsid w:val="0039796D"/>
    <w:rsid w:val="003A0458"/>
    <w:rsid w:val="003A24C8"/>
    <w:rsid w:val="003A4B8B"/>
    <w:rsid w:val="003B2C5E"/>
    <w:rsid w:val="003B507E"/>
    <w:rsid w:val="003B7FA9"/>
    <w:rsid w:val="003C3AA8"/>
    <w:rsid w:val="003C3E57"/>
    <w:rsid w:val="003D13CF"/>
    <w:rsid w:val="003D1417"/>
    <w:rsid w:val="003D28C2"/>
    <w:rsid w:val="003D3533"/>
    <w:rsid w:val="003D5012"/>
    <w:rsid w:val="003D55B5"/>
    <w:rsid w:val="003D7044"/>
    <w:rsid w:val="003D73BC"/>
    <w:rsid w:val="00400B51"/>
    <w:rsid w:val="00401E86"/>
    <w:rsid w:val="00403065"/>
    <w:rsid w:val="004108BF"/>
    <w:rsid w:val="0041178B"/>
    <w:rsid w:val="00414CF9"/>
    <w:rsid w:val="004170C8"/>
    <w:rsid w:val="004252C3"/>
    <w:rsid w:val="004328E8"/>
    <w:rsid w:val="0043417C"/>
    <w:rsid w:val="00434AC4"/>
    <w:rsid w:val="00447769"/>
    <w:rsid w:val="004500B1"/>
    <w:rsid w:val="00456D29"/>
    <w:rsid w:val="0046000E"/>
    <w:rsid w:val="004604C5"/>
    <w:rsid w:val="00462A78"/>
    <w:rsid w:val="00465BF9"/>
    <w:rsid w:val="0047225A"/>
    <w:rsid w:val="00475098"/>
    <w:rsid w:val="0047526F"/>
    <w:rsid w:val="0048011D"/>
    <w:rsid w:val="00481966"/>
    <w:rsid w:val="00484A50"/>
    <w:rsid w:val="00486C4E"/>
    <w:rsid w:val="00495E55"/>
    <w:rsid w:val="00497E31"/>
    <w:rsid w:val="004C2501"/>
    <w:rsid w:val="004C58B8"/>
    <w:rsid w:val="004C7F31"/>
    <w:rsid w:val="004E4399"/>
    <w:rsid w:val="004F086F"/>
    <w:rsid w:val="0050031D"/>
    <w:rsid w:val="0050172D"/>
    <w:rsid w:val="00504425"/>
    <w:rsid w:val="0051176B"/>
    <w:rsid w:val="0051383E"/>
    <w:rsid w:val="00516931"/>
    <w:rsid w:val="00517D1D"/>
    <w:rsid w:val="0052482C"/>
    <w:rsid w:val="005306A4"/>
    <w:rsid w:val="00535417"/>
    <w:rsid w:val="00544BA6"/>
    <w:rsid w:val="00547A60"/>
    <w:rsid w:val="0055087C"/>
    <w:rsid w:val="00551B06"/>
    <w:rsid w:val="00561EF2"/>
    <w:rsid w:val="0056622F"/>
    <w:rsid w:val="005748F0"/>
    <w:rsid w:val="005802D4"/>
    <w:rsid w:val="00586A2F"/>
    <w:rsid w:val="00586C00"/>
    <w:rsid w:val="00591AAB"/>
    <w:rsid w:val="005A06CE"/>
    <w:rsid w:val="005B2ACA"/>
    <w:rsid w:val="005B66FC"/>
    <w:rsid w:val="005C17B6"/>
    <w:rsid w:val="005C5817"/>
    <w:rsid w:val="005C6838"/>
    <w:rsid w:val="005C77F2"/>
    <w:rsid w:val="005D4A5B"/>
    <w:rsid w:val="005D5B25"/>
    <w:rsid w:val="005E20B6"/>
    <w:rsid w:val="005E6305"/>
    <w:rsid w:val="00607FF2"/>
    <w:rsid w:val="00612D85"/>
    <w:rsid w:val="00613531"/>
    <w:rsid w:val="00620E7E"/>
    <w:rsid w:val="006212F8"/>
    <w:rsid w:val="0062272C"/>
    <w:rsid w:val="006315BF"/>
    <w:rsid w:val="00635E23"/>
    <w:rsid w:val="006437E7"/>
    <w:rsid w:val="006530C8"/>
    <w:rsid w:val="00654A19"/>
    <w:rsid w:val="006552EF"/>
    <w:rsid w:val="0065702C"/>
    <w:rsid w:val="0067756A"/>
    <w:rsid w:val="00680504"/>
    <w:rsid w:val="006908F4"/>
    <w:rsid w:val="00693272"/>
    <w:rsid w:val="00693602"/>
    <w:rsid w:val="00694DD1"/>
    <w:rsid w:val="00697203"/>
    <w:rsid w:val="006B4C8C"/>
    <w:rsid w:val="006B5564"/>
    <w:rsid w:val="006C011B"/>
    <w:rsid w:val="006C0D2D"/>
    <w:rsid w:val="006D197C"/>
    <w:rsid w:val="006D31F7"/>
    <w:rsid w:val="006D71DC"/>
    <w:rsid w:val="006E06DF"/>
    <w:rsid w:val="006E2197"/>
    <w:rsid w:val="006E3E9B"/>
    <w:rsid w:val="006E5E3F"/>
    <w:rsid w:val="006F4BC0"/>
    <w:rsid w:val="00703756"/>
    <w:rsid w:val="00704A4A"/>
    <w:rsid w:val="00704E46"/>
    <w:rsid w:val="00710494"/>
    <w:rsid w:val="007224B4"/>
    <w:rsid w:val="00725399"/>
    <w:rsid w:val="00725418"/>
    <w:rsid w:val="00740BD1"/>
    <w:rsid w:val="007479F0"/>
    <w:rsid w:val="00754A3D"/>
    <w:rsid w:val="00761A6A"/>
    <w:rsid w:val="007643A3"/>
    <w:rsid w:val="00773591"/>
    <w:rsid w:val="00774246"/>
    <w:rsid w:val="00775556"/>
    <w:rsid w:val="00786C34"/>
    <w:rsid w:val="0078710C"/>
    <w:rsid w:val="007902F0"/>
    <w:rsid w:val="00793147"/>
    <w:rsid w:val="00793AD2"/>
    <w:rsid w:val="0079761E"/>
    <w:rsid w:val="007A1E72"/>
    <w:rsid w:val="007A7F68"/>
    <w:rsid w:val="007B38AD"/>
    <w:rsid w:val="007B63EA"/>
    <w:rsid w:val="007B6EA4"/>
    <w:rsid w:val="007B7F5C"/>
    <w:rsid w:val="007C482E"/>
    <w:rsid w:val="007C70BB"/>
    <w:rsid w:val="007D0B5F"/>
    <w:rsid w:val="007D70FE"/>
    <w:rsid w:val="007E2F46"/>
    <w:rsid w:val="007E3FA2"/>
    <w:rsid w:val="007E5527"/>
    <w:rsid w:val="007F79E3"/>
    <w:rsid w:val="008002DE"/>
    <w:rsid w:val="00804166"/>
    <w:rsid w:val="0080586B"/>
    <w:rsid w:val="008128FF"/>
    <w:rsid w:val="008134C0"/>
    <w:rsid w:val="00822BF7"/>
    <w:rsid w:val="00825F28"/>
    <w:rsid w:val="00826289"/>
    <w:rsid w:val="00826FCF"/>
    <w:rsid w:val="00842287"/>
    <w:rsid w:val="0084561D"/>
    <w:rsid w:val="00852DAE"/>
    <w:rsid w:val="00861ACD"/>
    <w:rsid w:val="00862362"/>
    <w:rsid w:val="008641C1"/>
    <w:rsid w:val="00865673"/>
    <w:rsid w:val="0086642A"/>
    <w:rsid w:val="00872815"/>
    <w:rsid w:val="00881D82"/>
    <w:rsid w:val="00884DAB"/>
    <w:rsid w:val="00884E5B"/>
    <w:rsid w:val="00886E80"/>
    <w:rsid w:val="00890284"/>
    <w:rsid w:val="0089381E"/>
    <w:rsid w:val="008A035C"/>
    <w:rsid w:val="008A2DE7"/>
    <w:rsid w:val="008A57FA"/>
    <w:rsid w:val="008B4380"/>
    <w:rsid w:val="008B708B"/>
    <w:rsid w:val="008C6DB1"/>
    <w:rsid w:val="008D371E"/>
    <w:rsid w:val="008D5E13"/>
    <w:rsid w:val="008D61B3"/>
    <w:rsid w:val="008F10F1"/>
    <w:rsid w:val="008F5BAA"/>
    <w:rsid w:val="008F61E4"/>
    <w:rsid w:val="0090238F"/>
    <w:rsid w:val="009075B9"/>
    <w:rsid w:val="00911716"/>
    <w:rsid w:val="009173F1"/>
    <w:rsid w:val="00922670"/>
    <w:rsid w:val="00924DDD"/>
    <w:rsid w:val="0092765A"/>
    <w:rsid w:val="00932A6E"/>
    <w:rsid w:val="00932D3B"/>
    <w:rsid w:val="009474EA"/>
    <w:rsid w:val="009504F7"/>
    <w:rsid w:val="009518B7"/>
    <w:rsid w:val="00956952"/>
    <w:rsid w:val="00960EE5"/>
    <w:rsid w:val="00963FB1"/>
    <w:rsid w:val="009715F5"/>
    <w:rsid w:val="009772C3"/>
    <w:rsid w:val="00977E01"/>
    <w:rsid w:val="00986B48"/>
    <w:rsid w:val="00987B4E"/>
    <w:rsid w:val="00993CC8"/>
    <w:rsid w:val="009952B5"/>
    <w:rsid w:val="009A21B4"/>
    <w:rsid w:val="009A5726"/>
    <w:rsid w:val="009B5B66"/>
    <w:rsid w:val="009C1171"/>
    <w:rsid w:val="009C2A7A"/>
    <w:rsid w:val="009D4390"/>
    <w:rsid w:val="009D5E72"/>
    <w:rsid w:val="009E2AF7"/>
    <w:rsid w:val="009F008B"/>
    <w:rsid w:val="009F40F0"/>
    <w:rsid w:val="009F4B4F"/>
    <w:rsid w:val="00A02236"/>
    <w:rsid w:val="00A05964"/>
    <w:rsid w:val="00A10210"/>
    <w:rsid w:val="00A10DE3"/>
    <w:rsid w:val="00A11750"/>
    <w:rsid w:val="00A21186"/>
    <w:rsid w:val="00A2247A"/>
    <w:rsid w:val="00A24B3A"/>
    <w:rsid w:val="00A255F5"/>
    <w:rsid w:val="00A31B1E"/>
    <w:rsid w:val="00A323C0"/>
    <w:rsid w:val="00A33949"/>
    <w:rsid w:val="00A34AB1"/>
    <w:rsid w:val="00A35D3C"/>
    <w:rsid w:val="00A37CD2"/>
    <w:rsid w:val="00A4293C"/>
    <w:rsid w:val="00A43064"/>
    <w:rsid w:val="00A44BC9"/>
    <w:rsid w:val="00A51E31"/>
    <w:rsid w:val="00A57154"/>
    <w:rsid w:val="00A658CA"/>
    <w:rsid w:val="00A71057"/>
    <w:rsid w:val="00A84209"/>
    <w:rsid w:val="00A94952"/>
    <w:rsid w:val="00A9753A"/>
    <w:rsid w:val="00AA09D0"/>
    <w:rsid w:val="00AA0D80"/>
    <w:rsid w:val="00AA52A0"/>
    <w:rsid w:val="00AA5349"/>
    <w:rsid w:val="00AA76F6"/>
    <w:rsid w:val="00AC454C"/>
    <w:rsid w:val="00AC62E7"/>
    <w:rsid w:val="00AD2317"/>
    <w:rsid w:val="00AD4606"/>
    <w:rsid w:val="00AE0507"/>
    <w:rsid w:val="00AE46A1"/>
    <w:rsid w:val="00AE6B01"/>
    <w:rsid w:val="00AE7504"/>
    <w:rsid w:val="00AF011F"/>
    <w:rsid w:val="00AF2484"/>
    <w:rsid w:val="00AF55E3"/>
    <w:rsid w:val="00B078A3"/>
    <w:rsid w:val="00B07B8E"/>
    <w:rsid w:val="00B11808"/>
    <w:rsid w:val="00B1237F"/>
    <w:rsid w:val="00B12FF6"/>
    <w:rsid w:val="00B244BF"/>
    <w:rsid w:val="00B249BA"/>
    <w:rsid w:val="00B25CB0"/>
    <w:rsid w:val="00B26289"/>
    <w:rsid w:val="00B3015F"/>
    <w:rsid w:val="00B31656"/>
    <w:rsid w:val="00B35C5B"/>
    <w:rsid w:val="00B36DE3"/>
    <w:rsid w:val="00B40557"/>
    <w:rsid w:val="00B40E4C"/>
    <w:rsid w:val="00B40E57"/>
    <w:rsid w:val="00B441DF"/>
    <w:rsid w:val="00B51853"/>
    <w:rsid w:val="00B518FE"/>
    <w:rsid w:val="00B57353"/>
    <w:rsid w:val="00B6566A"/>
    <w:rsid w:val="00B72028"/>
    <w:rsid w:val="00B80BBE"/>
    <w:rsid w:val="00B8177A"/>
    <w:rsid w:val="00B9409E"/>
    <w:rsid w:val="00BA01CD"/>
    <w:rsid w:val="00BA4EF4"/>
    <w:rsid w:val="00BA66D2"/>
    <w:rsid w:val="00BA69DE"/>
    <w:rsid w:val="00BB1DAE"/>
    <w:rsid w:val="00BB738E"/>
    <w:rsid w:val="00BC2A17"/>
    <w:rsid w:val="00BD0AA8"/>
    <w:rsid w:val="00BD13E1"/>
    <w:rsid w:val="00BD1CC9"/>
    <w:rsid w:val="00BD1CCC"/>
    <w:rsid w:val="00BD2945"/>
    <w:rsid w:val="00BD51D3"/>
    <w:rsid w:val="00BD5DB4"/>
    <w:rsid w:val="00BE50AE"/>
    <w:rsid w:val="00BE5706"/>
    <w:rsid w:val="00BE6273"/>
    <w:rsid w:val="00BE6DE3"/>
    <w:rsid w:val="00BF6718"/>
    <w:rsid w:val="00C03AC3"/>
    <w:rsid w:val="00C056A0"/>
    <w:rsid w:val="00C07B94"/>
    <w:rsid w:val="00C13160"/>
    <w:rsid w:val="00C172A5"/>
    <w:rsid w:val="00C273C3"/>
    <w:rsid w:val="00C3046B"/>
    <w:rsid w:val="00C36089"/>
    <w:rsid w:val="00C45B87"/>
    <w:rsid w:val="00C46BC0"/>
    <w:rsid w:val="00C518BF"/>
    <w:rsid w:val="00C6498E"/>
    <w:rsid w:val="00C70D82"/>
    <w:rsid w:val="00C75EC3"/>
    <w:rsid w:val="00C8380F"/>
    <w:rsid w:val="00C96027"/>
    <w:rsid w:val="00CA3485"/>
    <w:rsid w:val="00CB2F85"/>
    <w:rsid w:val="00CB38F8"/>
    <w:rsid w:val="00CB3F1D"/>
    <w:rsid w:val="00CB5C45"/>
    <w:rsid w:val="00CC499C"/>
    <w:rsid w:val="00CC4CC2"/>
    <w:rsid w:val="00CD04BE"/>
    <w:rsid w:val="00CD0E46"/>
    <w:rsid w:val="00CF0AF2"/>
    <w:rsid w:val="00CF4BF9"/>
    <w:rsid w:val="00CF5335"/>
    <w:rsid w:val="00CF7446"/>
    <w:rsid w:val="00CF7796"/>
    <w:rsid w:val="00D01CDB"/>
    <w:rsid w:val="00D05B38"/>
    <w:rsid w:val="00D17096"/>
    <w:rsid w:val="00D174D5"/>
    <w:rsid w:val="00D20263"/>
    <w:rsid w:val="00D255C1"/>
    <w:rsid w:val="00D27875"/>
    <w:rsid w:val="00D3026A"/>
    <w:rsid w:val="00D31E3F"/>
    <w:rsid w:val="00D434B1"/>
    <w:rsid w:val="00D437FB"/>
    <w:rsid w:val="00D448FD"/>
    <w:rsid w:val="00D47EBD"/>
    <w:rsid w:val="00D50000"/>
    <w:rsid w:val="00D50B92"/>
    <w:rsid w:val="00D56192"/>
    <w:rsid w:val="00D6724B"/>
    <w:rsid w:val="00D715EC"/>
    <w:rsid w:val="00D74CF1"/>
    <w:rsid w:val="00D7732B"/>
    <w:rsid w:val="00D77C66"/>
    <w:rsid w:val="00D8187A"/>
    <w:rsid w:val="00D856CC"/>
    <w:rsid w:val="00D860FD"/>
    <w:rsid w:val="00D90D02"/>
    <w:rsid w:val="00D9133F"/>
    <w:rsid w:val="00D92CEB"/>
    <w:rsid w:val="00D939E6"/>
    <w:rsid w:val="00D97060"/>
    <w:rsid w:val="00DA0284"/>
    <w:rsid w:val="00DA5D00"/>
    <w:rsid w:val="00DA6471"/>
    <w:rsid w:val="00DC257F"/>
    <w:rsid w:val="00DC4A6E"/>
    <w:rsid w:val="00DD739B"/>
    <w:rsid w:val="00DE0003"/>
    <w:rsid w:val="00DE1124"/>
    <w:rsid w:val="00DE4BCC"/>
    <w:rsid w:val="00DF5411"/>
    <w:rsid w:val="00E04638"/>
    <w:rsid w:val="00E14C13"/>
    <w:rsid w:val="00E243D4"/>
    <w:rsid w:val="00E24CCA"/>
    <w:rsid w:val="00E25281"/>
    <w:rsid w:val="00E27529"/>
    <w:rsid w:val="00E32882"/>
    <w:rsid w:val="00E37B22"/>
    <w:rsid w:val="00E4019C"/>
    <w:rsid w:val="00E425A7"/>
    <w:rsid w:val="00E54AB7"/>
    <w:rsid w:val="00E73C52"/>
    <w:rsid w:val="00E81891"/>
    <w:rsid w:val="00E8478C"/>
    <w:rsid w:val="00E86562"/>
    <w:rsid w:val="00E9234C"/>
    <w:rsid w:val="00E929FC"/>
    <w:rsid w:val="00E958DA"/>
    <w:rsid w:val="00E978D6"/>
    <w:rsid w:val="00EA011D"/>
    <w:rsid w:val="00EA06F5"/>
    <w:rsid w:val="00EA0D89"/>
    <w:rsid w:val="00EA3626"/>
    <w:rsid w:val="00EA5D47"/>
    <w:rsid w:val="00EA700E"/>
    <w:rsid w:val="00EB1E54"/>
    <w:rsid w:val="00EB22C3"/>
    <w:rsid w:val="00EC4022"/>
    <w:rsid w:val="00EC48D1"/>
    <w:rsid w:val="00ED0FFA"/>
    <w:rsid w:val="00EE0090"/>
    <w:rsid w:val="00EE3984"/>
    <w:rsid w:val="00EF23DB"/>
    <w:rsid w:val="00F021AC"/>
    <w:rsid w:val="00F06214"/>
    <w:rsid w:val="00F130E1"/>
    <w:rsid w:val="00F136B7"/>
    <w:rsid w:val="00F16464"/>
    <w:rsid w:val="00F16913"/>
    <w:rsid w:val="00F208C3"/>
    <w:rsid w:val="00F254F1"/>
    <w:rsid w:val="00F26E49"/>
    <w:rsid w:val="00F27613"/>
    <w:rsid w:val="00F30269"/>
    <w:rsid w:val="00F411E9"/>
    <w:rsid w:val="00F43A97"/>
    <w:rsid w:val="00F46A0A"/>
    <w:rsid w:val="00F515C8"/>
    <w:rsid w:val="00F51BDD"/>
    <w:rsid w:val="00F55771"/>
    <w:rsid w:val="00F55807"/>
    <w:rsid w:val="00F625D6"/>
    <w:rsid w:val="00F63507"/>
    <w:rsid w:val="00F667FE"/>
    <w:rsid w:val="00F72A43"/>
    <w:rsid w:val="00F80450"/>
    <w:rsid w:val="00F82093"/>
    <w:rsid w:val="00F85256"/>
    <w:rsid w:val="00F857A6"/>
    <w:rsid w:val="00F85818"/>
    <w:rsid w:val="00F95ED0"/>
    <w:rsid w:val="00FA2F75"/>
    <w:rsid w:val="00FA7017"/>
    <w:rsid w:val="00FB33AC"/>
    <w:rsid w:val="00FC17DC"/>
    <w:rsid w:val="00FC3FD3"/>
    <w:rsid w:val="00FC45B8"/>
    <w:rsid w:val="00FC471B"/>
    <w:rsid w:val="00FC6032"/>
    <w:rsid w:val="00FC699A"/>
    <w:rsid w:val="00FC6DDB"/>
    <w:rsid w:val="00FC74D7"/>
    <w:rsid w:val="00FD1739"/>
    <w:rsid w:val="00FD4FFE"/>
    <w:rsid w:val="00FE23DE"/>
    <w:rsid w:val="00FE49E8"/>
    <w:rsid w:val="00FE724E"/>
    <w:rsid w:val="00FF2A04"/>
    <w:rsid w:val="00FF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35FF"/>
  <w15:chartTrackingRefBased/>
  <w15:docId w15:val="{3DBDDC00-E334-4DAC-AE42-7DE9974F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2A7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22D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411E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4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EE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86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6FB7"/>
  </w:style>
  <w:style w:type="paragraph" w:styleId="Stopka">
    <w:name w:val="footer"/>
    <w:basedOn w:val="Normalny"/>
    <w:link w:val="StopkaZnak"/>
    <w:uiPriority w:val="99"/>
    <w:unhideWhenUsed/>
    <w:rsid w:val="00086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6FB7"/>
  </w:style>
  <w:style w:type="character" w:styleId="Hipercze">
    <w:name w:val="Hyperlink"/>
    <w:basedOn w:val="Domylnaczcionkaakapitu"/>
    <w:uiPriority w:val="99"/>
    <w:unhideWhenUsed/>
    <w:rsid w:val="00D1709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1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09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09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099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5B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5B3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5B3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15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anna.kuciel@goodonepr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leader.bi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14C11-DA12-4B91-9BDF-64BE75452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PR2024</dc:creator>
  <cp:keywords/>
  <dc:description/>
  <cp:lastModifiedBy>Joanna Kuciel</cp:lastModifiedBy>
  <cp:revision>4</cp:revision>
  <dcterms:created xsi:type="dcterms:W3CDTF">2026-03-06T08:49:00Z</dcterms:created>
  <dcterms:modified xsi:type="dcterms:W3CDTF">2026-03-06T08:57:00Z</dcterms:modified>
</cp:coreProperties>
</file>