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56A9" w14:textId="062740AF" w:rsidR="00262854" w:rsidRPr="002B4818" w:rsidRDefault="00262854" w:rsidP="00165957">
      <w:pPr>
        <w:spacing w:after="0"/>
        <w:rPr>
          <w:rFonts w:ascii="Arial" w:hAnsi="Arial" w:cs="Arial"/>
          <w:sz w:val="20"/>
          <w:szCs w:val="20"/>
          <w:lang w:val="pl-PL"/>
        </w:rPr>
      </w:pPr>
    </w:p>
    <w:p w14:paraId="6E1EB623" w14:textId="0E4684A0" w:rsidR="009D7CC8" w:rsidRPr="009D7CC8" w:rsidRDefault="009D7CC8" w:rsidP="002B4818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</w:pPr>
      <w:r w:rsidRPr="009D7CC8"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>Geopolityka znów testuje rynek nieruchomości. Właściciele budynków z nowym podejściem do ryzyka</w:t>
      </w:r>
    </w:p>
    <w:p w14:paraId="1718C8B3" w14:textId="77777777" w:rsidR="009D7CC8" w:rsidRPr="002B4818" w:rsidRDefault="009D7CC8" w:rsidP="002B481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 w:eastAsia="en-GB"/>
        </w:rPr>
      </w:pPr>
    </w:p>
    <w:p w14:paraId="67229CBF" w14:textId="6DC2B2AF" w:rsidR="002B4818" w:rsidRPr="009D7CC8" w:rsidRDefault="002B4818" w:rsidP="002B4818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</w:pPr>
      <w:r w:rsidRPr="002B4818"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 xml:space="preserve">Napięcia w regionie Zatoki Perskiej ponownie wywołują niepokój na rynkach surowców energetycznych. Rosnące ceny gazu są naturalną reakcją na ryzyko zakłóceń dostaw z Bliskiego Wschodu, w tym z Kataru – jednego z kluczowych eksporterów LNG. Dla właścicieli nieruchomości komercyjnych w Polsce to </w:t>
      </w:r>
      <w:r w:rsidR="009D7CC8" w:rsidRPr="009D7CC8"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>ważny</w:t>
      </w:r>
      <w:r w:rsidRPr="002B4818"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 xml:space="preserve"> sygnał ostrzegawczy</w:t>
      </w:r>
      <w:r w:rsidR="009D7CC8" w:rsidRPr="009D7CC8"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 xml:space="preserve">, </w:t>
      </w:r>
      <w:r w:rsidRPr="002B4818"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 xml:space="preserve">jednak rynek reaguje </w:t>
      </w:r>
      <w:r w:rsidR="009D7CC8" w:rsidRPr="009D7CC8"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 xml:space="preserve">relatywnie spokojnie. </w:t>
      </w:r>
      <w:r w:rsidR="009D7CC8"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>Warto jednak podkreślić, że c</w:t>
      </w:r>
      <w:r w:rsidR="009D7CC8" w:rsidRPr="009D7CC8"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>hoć sezon grzewczy dobiega końca, co naturalnie obniża bieżące zużycie, sytuacja geopolityczna przypomina o konieczności stałego monitorowania kosztów mediów.</w:t>
      </w:r>
    </w:p>
    <w:p w14:paraId="5DC8195C" w14:textId="77777777" w:rsidR="009D7CC8" w:rsidRPr="002B4818" w:rsidRDefault="009D7CC8" w:rsidP="002B481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 w:eastAsia="en-GB"/>
        </w:rPr>
      </w:pPr>
    </w:p>
    <w:p w14:paraId="44989539" w14:textId="77777777" w:rsidR="000132C1" w:rsidRPr="000132C1" w:rsidRDefault="000132C1" w:rsidP="000132C1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</w:pPr>
      <w:r w:rsidRPr="000132C1"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>Doświadczenie zamiast nerwowych ruchów</w:t>
      </w:r>
    </w:p>
    <w:p w14:paraId="2CA17BA8" w14:textId="1D9E7DEB" w:rsidR="000132C1" w:rsidRPr="000132C1" w:rsidRDefault="000132C1" w:rsidP="000132C1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 w:eastAsia="en-GB"/>
        </w:rPr>
      </w:pPr>
      <w:r w:rsidRPr="000132C1">
        <w:rPr>
          <w:rFonts w:ascii="Arial" w:hAnsi="Arial" w:cs="Arial"/>
          <w:kern w:val="0"/>
          <w:sz w:val="20"/>
          <w:szCs w:val="20"/>
          <w:lang w:val="pl-PL" w:eastAsia="en-GB"/>
        </w:rPr>
        <w:t xml:space="preserve">Obecnie właściciele nieruchomości dysponują większym doświadczeniem w zarządzaniu kryzysowym oraz wypracowanymi procedurami zakupowymi. Rynek </w:t>
      </w:r>
      <w:r w:rsidR="004C5545">
        <w:rPr>
          <w:rFonts w:ascii="Arial" w:hAnsi="Arial" w:cs="Arial"/>
          <w:kern w:val="0"/>
          <w:sz w:val="20"/>
          <w:szCs w:val="20"/>
          <w:lang w:val="pl-PL" w:eastAsia="en-GB"/>
        </w:rPr>
        <w:t>niejako przyzwyczaił się</w:t>
      </w:r>
      <w:r w:rsidRPr="000132C1">
        <w:rPr>
          <w:rFonts w:ascii="Arial" w:hAnsi="Arial" w:cs="Arial"/>
          <w:kern w:val="0"/>
          <w:sz w:val="20"/>
          <w:szCs w:val="20"/>
          <w:lang w:val="pl-PL" w:eastAsia="en-GB"/>
        </w:rPr>
        <w:t>, że po gwałtownych wzrostach cen często następuje faza korekty i stabilizacji</w:t>
      </w:r>
      <w:r>
        <w:rPr>
          <w:rFonts w:ascii="Arial" w:hAnsi="Arial" w:cs="Arial"/>
          <w:kern w:val="0"/>
          <w:sz w:val="20"/>
          <w:szCs w:val="20"/>
          <w:lang w:val="pl-PL" w:eastAsia="en-GB"/>
        </w:rPr>
        <w:t xml:space="preserve">, </w:t>
      </w:r>
      <w:r w:rsidRPr="000132C1">
        <w:rPr>
          <w:rFonts w:ascii="Arial" w:hAnsi="Arial" w:cs="Arial"/>
          <w:kern w:val="0"/>
          <w:sz w:val="20"/>
          <w:szCs w:val="20"/>
          <w:lang w:val="pl-PL" w:eastAsia="en-GB"/>
        </w:rPr>
        <w:t>czego dowodem był zeszłoroczny epizod tzw. „wojny 12-dniowej”.</w:t>
      </w:r>
    </w:p>
    <w:p w14:paraId="74AE59DD" w14:textId="77777777" w:rsidR="000132C1" w:rsidRDefault="000132C1" w:rsidP="002B481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 w:eastAsia="en-GB"/>
        </w:rPr>
      </w:pPr>
    </w:p>
    <w:p w14:paraId="6F1F9331" w14:textId="1C5C057B" w:rsidR="000132C1" w:rsidRPr="000132C1" w:rsidRDefault="000132C1" w:rsidP="002B481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 w:eastAsia="en-GB"/>
        </w:rPr>
      </w:pPr>
      <w:r w:rsidRPr="000132C1">
        <w:rPr>
          <w:rFonts w:ascii="Arial" w:hAnsi="Arial" w:cs="Arial"/>
          <w:kern w:val="0"/>
          <w:sz w:val="20"/>
          <w:szCs w:val="20"/>
          <w:lang w:val="pl-PL" w:eastAsia="en-GB"/>
        </w:rPr>
        <w:t xml:space="preserve">– </w:t>
      </w:r>
      <w:r>
        <w:rPr>
          <w:rFonts w:ascii="Arial" w:hAnsi="Arial" w:cs="Arial"/>
          <w:kern w:val="0"/>
          <w:sz w:val="20"/>
          <w:szCs w:val="20"/>
          <w:lang w:val="pl-PL" w:eastAsia="en-GB"/>
        </w:rPr>
        <w:t xml:space="preserve"> </w:t>
      </w:r>
      <w:r w:rsidRPr="000132C1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>Każdy obserwuje sytuację z dużą uwagą, ale nikt nie wykonuje nerwowych ruchów. Rynek przeszedł już testy odporności, m.in. podczas ubiegłorocznej, 12-dniowej eskalacji na Bliskim Wschodzie, kiedy ceny wystrzeliły, aby po chwili wrócić do stabilności. Na razie dane z rynku hurtowego pokazują, że kontrakt roczny z dostawą na 2027 rok w Polsce podrożał w ciągu dwóch dni o 16%. To stosunkowo niewiele, gdy zestawimy to ze zmianą wskaźnika TTF (Title Transfer Facility) w Holandii, który pełni rolę europejskiego benchmarku cen gazu i w tym samym czasie wzrósł o około 80%. Presja cenowa jest widoczna na kontraktach krótkoterminowych na rok 2026. Jednak n</w:t>
      </w:r>
      <w:r w:rsidRPr="002B4818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 xml:space="preserve">a rynku komercyjnym standardem jest kontraktowanie energii z wyprzedzeniem – najczęściej na rok lub dwa lata. Dzięki temu większość właścicieli ma dziś zabezpieczone budżety operacyjne, a </w:t>
      </w:r>
      <w:r w:rsidRPr="000132C1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 xml:space="preserve">ewentualne </w:t>
      </w:r>
      <w:r w:rsidRPr="002B4818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>skutki wzrostów cen są w dużej mierze odsunięte w czasie</w:t>
      </w:r>
      <w:r w:rsidRPr="000132C1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 xml:space="preserve">. </w:t>
      </w:r>
      <w:r w:rsidRPr="002B4818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>Sprzyja nam również kalendarz</w:t>
      </w:r>
      <w:r w:rsidRPr="000132C1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 xml:space="preserve">, bo </w:t>
      </w:r>
      <w:r w:rsidRPr="002B4818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>końcówka sezonu grzewczego oznacza mniejsze zużycie gazu. To daje przestrzeń na chłodną analizę i planowanie kolejnych zakupów energii</w:t>
      </w:r>
      <w:r w:rsidRPr="000132C1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 xml:space="preserve"> </w:t>
      </w:r>
      <w:r w:rsidRPr="000132C1">
        <w:rPr>
          <w:rFonts w:ascii="Arial" w:hAnsi="Arial" w:cs="Arial"/>
          <w:kern w:val="0"/>
          <w:sz w:val="20"/>
          <w:szCs w:val="20"/>
          <w:lang w:val="pl-PL" w:eastAsia="en-GB"/>
        </w:rPr>
        <w:t xml:space="preserve">– komentuje </w:t>
      </w:r>
      <w:r w:rsidRPr="000132C1"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>Zuzanna Paciorkiewicz, Head of Asset Services CEE w Cushman &amp; Wakefield.</w:t>
      </w:r>
    </w:p>
    <w:p w14:paraId="00C76D21" w14:textId="77777777" w:rsidR="000132C1" w:rsidRPr="002B4818" w:rsidRDefault="000132C1" w:rsidP="002B481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 w:eastAsia="en-GB"/>
        </w:rPr>
      </w:pPr>
    </w:p>
    <w:p w14:paraId="7175DA5A" w14:textId="77777777" w:rsidR="002B4818" w:rsidRPr="000132C1" w:rsidRDefault="002B4818" w:rsidP="002B4818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</w:pPr>
      <w:r w:rsidRPr="002B4818"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>Gaz pozostaje barometrem ryzyka</w:t>
      </w:r>
    </w:p>
    <w:p w14:paraId="02E0C343" w14:textId="77777777" w:rsidR="000132C1" w:rsidRPr="002B4818" w:rsidRDefault="000132C1" w:rsidP="002B481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 w:eastAsia="en-GB"/>
        </w:rPr>
      </w:pPr>
    </w:p>
    <w:p w14:paraId="1C2FA7A7" w14:textId="69EF1F50" w:rsidR="002B4818" w:rsidRPr="002B4818" w:rsidRDefault="002B4818" w:rsidP="002B481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 w:eastAsia="en-GB"/>
        </w:rPr>
      </w:pPr>
      <w:r w:rsidRPr="002B4818">
        <w:rPr>
          <w:rFonts w:ascii="Arial" w:hAnsi="Arial" w:cs="Arial"/>
          <w:kern w:val="0"/>
          <w:sz w:val="20"/>
          <w:szCs w:val="20"/>
          <w:lang w:val="pl-PL" w:eastAsia="en-GB"/>
        </w:rPr>
        <w:t>Choć obecna sytuacja nie wywołuje paniki, rynek uważnie monitoruje poziom europejskich zapasów gazu oraz tempo ich odbudowy przed kolejną zimą. W przypadku przedłużającej się destabilizacji, presja kosztowa może powrócić wraz z nowym sezonem grzewczym.</w:t>
      </w:r>
      <w:r w:rsidR="004C5545">
        <w:rPr>
          <w:rFonts w:ascii="Arial" w:hAnsi="Arial" w:cs="Arial"/>
          <w:kern w:val="0"/>
          <w:sz w:val="20"/>
          <w:szCs w:val="20"/>
          <w:lang w:val="pl-PL" w:eastAsia="en-GB"/>
        </w:rPr>
        <w:t xml:space="preserve"> </w:t>
      </w:r>
      <w:r w:rsidRPr="002B4818">
        <w:rPr>
          <w:rFonts w:ascii="Arial" w:hAnsi="Arial" w:cs="Arial"/>
          <w:kern w:val="0"/>
          <w:sz w:val="20"/>
          <w:szCs w:val="20"/>
          <w:lang w:val="pl-PL" w:eastAsia="en-GB"/>
        </w:rPr>
        <w:t xml:space="preserve">Scenariusz średnioterminowy będzie zależał od kilku czynników: rozwoju sytuacji geopolitycznej, zdolności do dywersyfikacji dostaw oraz reakcji rynków finansowych. </w:t>
      </w:r>
    </w:p>
    <w:p w14:paraId="145564EE" w14:textId="77777777" w:rsidR="000132C1" w:rsidRDefault="000132C1" w:rsidP="002B481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 w:eastAsia="en-GB"/>
        </w:rPr>
      </w:pPr>
    </w:p>
    <w:p w14:paraId="7E0900B7" w14:textId="193E4966" w:rsidR="002B4818" w:rsidRDefault="000132C1" w:rsidP="002B4818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</w:pPr>
      <w:r w:rsidRPr="000132C1">
        <w:rPr>
          <w:rFonts w:ascii="Arial" w:hAnsi="Arial" w:cs="Arial"/>
          <w:kern w:val="0"/>
          <w:sz w:val="20"/>
          <w:szCs w:val="20"/>
          <w:lang w:val="pl-PL" w:eastAsia="en-GB"/>
        </w:rPr>
        <w:t>–</w:t>
      </w:r>
      <w:r>
        <w:rPr>
          <w:rFonts w:ascii="Arial" w:hAnsi="Arial" w:cs="Arial"/>
          <w:kern w:val="0"/>
          <w:sz w:val="20"/>
          <w:szCs w:val="20"/>
          <w:lang w:val="pl-PL" w:eastAsia="en-GB"/>
        </w:rPr>
        <w:t xml:space="preserve"> </w:t>
      </w:r>
      <w:r w:rsidR="002B4818" w:rsidRPr="002B4818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 xml:space="preserve">Obecna sytuacja ponownie uwypukla znaczenie efektywności energetycznej. Budynki, które w ostatnich latach zainwestowały w </w:t>
      </w:r>
      <w:r w:rsidRPr="000132C1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 xml:space="preserve">energię odnawialną, </w:t>
      </w:r>
      <w:r w:rsidR="002B4818" w:rsidRPr="002B4818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>nowoczesne systemy zarządzania (BMS) oraz optymalizację zużycia mediów, realnie ograniczają dziś swoją ekspozycję na wahania cen energii</w:t>
      </w:r>
      <w:r w:rsidR="004C5545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 xml:space="preserve">. </w:t>
      </w:r>
      <w:r w:rsidR="004C5545" w:rsidRPr="002B4818">
        <w:rPr>
          <w:rFonts w:ascii="Arial" w:hAnsi="Arial" w:cs="Arial"/>
          <w:i/>
          <w:iCs/>
          <w:kern w:val="0"/>
          <w:sz w:val="20"/>
          <w:szCs w:val="20"/>
          <w:lang w:val="pl-PL" w:eastAsia="en-GB"/>
        </w:rPr>
        <w:t>Efektywność energetyczna przestała być wyłącznie elementem strategii ESG. Dziś to twarde narzędzie zarządzania ryzykiem kosztowym. Właściciele, którzy postawili na zielone rozwiązania, widzą wyraźną różnicę w stabilności swoich budżetów operacyjnych</w:t>
      </w:r>
      <w:r>
        <w:rPr>
          <w:rFonts w:ascii="Arial" w:hAnsi="Arial" w:cs="Arial"/>
          <w:kern w:val="0"/>
          <w:sz w:val="20"/>
          <w:szCs w:val="20"/>
          <w:lang w:val="pl-PL" w:eastAsia="en-GB"/>
        </w:rPr>
        <w:t xml:space="preserve"> </w:t>
      </w:r>
      <w:r w:rsidRPr="000132C1">
        <w:rPr>
          <w:rFonts w:ascii="Arial" w:hAnsi="Arial" w:cs="Arial"/>
          <w:kern w:val="0"/>
          <w:sz w:val="20"/>
          <w:szCs w:val="20"/>
          <w:lang w:val="pl-PL" w:eastAsia="en-GB"/>
        </w:rPr>
        <w:t xml:space="preserve">– </w:t>
      </w:r>
      <w:r>
        <w:rPr>
          <w:rFonts w:ascii="Arial" w:hAnsi="Arial" w:cs="Arial"/>
          <w:kern w:val="0"/>
          <w:sz w:val="20"/>
          <w:szCs w:val="20"/>
          <w:lang w:val="pl-PL" w:eastAsia="en-GB"/>
        </w:rPr>
        <w:t xml:space="preserve">dodaje </w:t>
      </w:r>
      <w:r w:rsidRPr="000132C1"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>Zuzanna Paciorkiewicz</w:t>
      </w:r>
      <w:r>
        <w:rPr>
          <w:rFonts w:ascii="Arial" w:hAnsi="Arial" w:cs="Arial"/>
          <w:b/>
          <w:bCs/>
          <w:kern w:val="0"/>
          <w:sz w:val="20"/>
          <w:szCs w:val="20"/>
          <w:lang w:val="pl-PL" w:eastAsia="en-GB"/>
        </w:rPr>
        <w:t>.</w:t>
      </w:r>
    </w:p>
    <w:p w14:paraId="149F4796" w14:textId="77777777" w:rsidR="000132C1" w:rsidRPr="002B4818" w:rsidRDefault="000132C1" w:rsidP="002B481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 w:eastAsia="en-GB"/>
        </w:rPr>
      </w:pPr>
    </w:p>
    <w:p w14:paraId="64B8592F" w14:textId="77777777" w:rsidR="002B4818" w:rsidRPr="002B4818" w:rsidRDefault="002B4818" w:rsidP="002B481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 w:eastAsia="en-GB"/>
        </w:rPr>
      </w:pPr>
      <w:r w:rsidRPr="002B4818">
        <w:rPr>
          <w:rFonts w:ascii="Arial" w:hAnsi="Arial" w:cs="Arial"/>
          <w:kern w:val="0"/>
          <w:sz w:val="20"/>
          <w:szCs w:val="20"/>
          <w:lang w:val="pl-PL" w:eastAsia="en-GB"/>
        </w:rPr>
        <w:t>Rosnące wymagania regulacyjne oraz oczekiwania najemców dodatkowo wzmacniają premię dla nowoczesnych, energooszczędnych budynków.</w:t>
      </w:r>
    </w:p>
    <w:p w14:paraId="64313EBF" w14:textId="77777777" w:rsidR="000132C1" w:rsidRDefault="000132C1" w:rsidP="002B481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 w:eastAsia="en-GB"/>
        </w:rPr>
      </w:pPr>
    </w:p>
    <w:p w14:paraId="6F5F16B9" w14:textId="2E09574B" w:rsidR="002B4818" w:rsidRDefault="002B4818" w:rsidP="002B481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 w:eastAsia="en-GB"/>
        </w:rPr>
      </w:pPr>
      <w:r w:rsidRPr="002B4818">
        <w:rPr>
          <w:rFonts w:ascii="Arial" w:hAnsi="Arial" w:cs="Arial"/>
          <w:kern w:val="0"/>
          <w:sz w:val="20"/>
          <w:szCs w:val="20"/>
          <w:lang w:val="pl-PL" w:eastAsia="en-GB"/>
        </w:rPr>
        <w:t>Cushman &amp; Wakefield to jeden z wiodących zarządców nieruchomości komercyjnych w regionie Europy Środkowo-Wschodniej (CEE). W Polsce firma zarządza portfelem ponad 4,6 mln mkw. powierzchni</w:t>
      </w:r>
      <w:r w:rsidR="006D5DF9">
        <w:rPr>
          <w:rFonts w:ascii="Arial" w:hAnsi="Arial" w:cs="Arial"/>
          <w:kern w:val="0"/>
          <w:sz w:val="20"/>
          <w:szCs w:val="20"/>
          <w:lang w:val="pl-PL" w:eastAsia="en-GB"/>
        </w:rPr>
        <w:t xml:space="preserve"> (</w:t>
      </w:r>
      <w:r w:rsidR="006D5DF9" w:rsidRPr="006D5DF9">
        <w:rPr>
          <w:rFonts w:ascii="Arial" w:hAnsi="Arial" w:cs="Arial"/>
          <w:kern w:val="0"/>
          <w:sz w:val="20"/>
          <w:szCs w:val="20"/>
          <w:lang w:val="pl-PL" w:eastAsia="en-GB"/>
        </w:rPr>
        <w:t xml:space="preserve">190 obiektów i 2,6 tys. </w:t>
      </w:r>
      <w:r w:rsidR="006D5DF9">
        <w:rPr>
          <w:rFonts w:ascii="Arial" w:hAnsi="Arial" w:cs="Arial"/>
          <w:kern w:val="0"/>
          <w:sz w:val="20"/>
          <w:szCs w:val="20"/>
          <w:lang w:val="pl-PL" w:eastAsia="en-GB"/>
        </w:rPr>
        <w:t>n</w:t>
      </w:r>
      <w:r w:rsidR="006D5DF9" w:rsidRPr="006D5DF9">
        <w:rPr>
          <w:rFonts w:ascii="Arial" w:hAnsi="Arial" w:cs="Arial"/>
          <w:kern w:val="0"/>
          <w:sz w:val="20"/>
          <w:szCs w:val="20"/>
          <w:lang w:val="pl-PL" w:eastAsia="en-GB"/>
        </w:rPr>
        <w:t>ajemców</w:t>
      </w:r>
      <w:r w:rsidR="006D5DF9">
        <w:rPr>
          <w:rFonts w:ascii="Arial" w:hAnsi="Arial" w:cs="Arial"/>
          <w:kern w:val="0"/>
          <w:sz w:val="20"/>
          <w:szCs w:val="20"/>
          <w:lang w:val="pl-PL" w:eastAsia="en-GB"/>
        </w:rPr>
        <w:t>)</w:t>
      </w:r>
      <w:r w:rsidRPr="002B4818">
        <w:rPr>
          <w:rFonts w:ascii="Arial" w:hAnsi="Arial" w:cs="Arial"/>
          <w:kern w:val="0"/>
          <w:sz w:val="20"/>
          <w:szCs w:val="20"/>
          <w:lang w:val="pl-PL" w:eastAsia="en-GB"/>
        </w:rPr>
        <w:t>, co stanowi ponad 65% całkowitego portfela zarządzanego przez Cushman &amp; Wakefield w regionie CEE.</w:t>
      </w:r>
    </w:p>
    <w:p w14:paraId="123008C1" w14:textId="45DD823F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</w:p>
    <w:p w14:paraId="0CF7F984" w14:textId="77777777" w:rsidR="0072155A" w:rsidRPr="00AC68CC" w:rsidRDefault="0072155A" w:rsidP="00D60FE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pl-PL"/>
        </w:rPr>
      </w:pPr>
    </w:p>
    <w:p w14:paraId="1E478EB1" w14:textId="05B3024F" w:rsidR="00DD1E0C" w:rsidRPr="008F550C" w:rsidRDefault="0035169F" w:rsidP="00F270D6">
      <w:pPr>
        <w:spacing w:line="240" w:lineRule="auto"/>
        <w:jc w:val="center"/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</w:pPr>
      <w:r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-</w:t>
      </w:r>
      <w:r w:rsidR="008F7059"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KONIEC</w:t>
      </w:r>
      <w:r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-</w:t>
      </w:r>
    </w:p>
    <w:p w14:paraId="4BC21898" w14:textId="133FB2D8" w:rsidR="00267AD2" w:rsidRPr="008F550C" w:rsidRDefault="00267AD2" w:rsidP="00D60FED">
      <w:pPr>
        <w:spacing w:after="0" w:line="240" w:lineRule="auto"/>
        <w:jc w:val="both"/>
        <w:rPr>
          <w:rFonts w:ascii="Arial" w:hAnsi="Arial" w:cs="Arial"/>
          <w:bCs/>
          <w:color w:val="000000" w:themeColor="text1" w:themeShade="BF"/>
          <w:sz w:val="20"/>
          <w:szCs w:val="20"/>
          <w:lang w:val="pl-PL"/>
        </w:rPr>
      </w:pPr>
    </w:p>
    <w:p w14:paraId="7E6209AD" w14:textId="77777777" w:rsidR="00E61826" w:rsidRPr="008F550C" w:rsidRDefault="00E61826" w:rsidP="00D60FE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</w:pPr>
    </w:p>
    <w:p w14:paraId="5716EE10" w14:textId="38A856B3" w:rsidR="00B4789E" w:rsidRPr="008F550C" w:rsidRDefault="008F7059" w:rsidP="00D60FE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</w:pPr>
      <w:r w:rsidRPr="008F550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  <w:t>O</w:t>
      </w:r>
      <w:r w:rsidR="00B4789E" w:rsidRPr="008F550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  <w:t xml:space="preserve"> Cushman &amp; Wakefield  </w:t>
      </w:r>
    </w:p>
    <w:p w14:paraId="7318E1E3" w14:textId="77777777" w:rsidR="009207AD" w:rsidRPr="008F550C" w:rsidRDefault="009207AD" w:rsidP="00D60FE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highlight w:val="yellow"/>
          <w:lang w:val="pl-PL"/>
        </w:rPr>
      </w:pPr>
    </w:p>
    <w:p w14:paraId="2B63D07E" w14:textId="60B2B84A" w:rsidR="00374DB0" w:rsidRPr="008F550C" w:rsidRDefault="008102B4" w:rsidP="00D60FED">
      <w:pPr>
        <w:pStyle w:val="NormalnyWeb"/>
        <w:shd w:val="clear" w:color="auto" w:fill="FFFFFF"/>
        <w:spacing w:before="0" w:beforeAutospacing="0" w:after="0" w:afterAutospacing="0"/>
        <w:jc w:val="both"/>
        <w:rPr>
          <w:lang w:val="pl-PL"/>
        </w:rPr>
      </w:pPr>
      <w:r w:rsidRPr="008F550C">
        <w:rPr>
          <w:rFonts w:ascii="Arial" w:hAnsi="Arial" w:cs="Arial"/>
          <w:sz w:val="18"/>
          <w:szCs w:val="18"/>
          <w:lang w:val="pl-PL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r w:rsidRPr="008F550C">
        <w:rPr>
          <w:rFonts w:ascii="Arial" w:hAnsi="Arial" w:cs="Arial"/>
          <w:i/>
          <w:iCs/>
          <w:sz w:val="18"/>
          <w:szCs w:val="18"/>
          <w:lang w:val="pl-PL"/>
        </w:rPr>
        <w:t>Better never settles</w:t>
      </w:r>
      <w:r w:rsidRPr="008F550C">
        <w:rPr>
          <w:rFonts w:ascii="Arial" w:hAnsi="Arial" w:cs="Arial"/>
          <w:sz w:val="18"/>
          <w:szCs w:val="18"/>
          <w:lang w:val="pl-PL"/>
        </w:rPr>
        <w:t> Cushman &amp; Wakefield otrzymuje wiele wyróżnień oraz nagród w konkursach branżowych i biznesowych. Dodatkowe informacje na stronie</w:t>
      </w:r>
      <w:r w:rsidRPr="008F550C">
        <w:rPr>
          <w:sz w:val="16"/>
          <w:szCs w:val="16"/>
          <w:lang w:val="pl-PL"/>
        </w:rPr>
        <w:t> </w:t>
      </w:r>
      <w:r w:rsidR="00E61826" w:rsidRPr="008F550C">
        <w:rPr>
          <w:rFonts w:ascii="Arial" w:hAnsi="Arial" w:cs="Arial"/>
          <w:color w:val="000000"/>
          <w:sz w:val="18"/>
          <w:szCs w:val="18"/>
          <w:bdr w:val="none" w:sz="0" w:space="0" w:color="auto" w:frame="1"/>
          <w:lang w:val="pl-PL"/>
        </w:rPr>
        <w:t>www.cushmanwakefield.com.</w:t>
      </w:r>
    </w:p>
    <w:sectPr w:rsidR="00374DB0" w:rsidRPr="008F55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B629" w14:textId="77777777" w:rsidR="000F2C92" w:rsidRDefault="000F2C92" w:rsidP="00B4789E">
      <w:pPr>
        <w:spacing w:after="0" w:line="240" w:lineRule="auto"/>
      </w:pPr>
      <w:r>
        <w:separator/>
      </w:r>
    </w:p>
  </w:endnote>
  <w:endnote w:type="continuationSeparator" w:id="0">
    <w:p w14:paraId="7370AC7F" w14:textId="77777777" w:rsidR="000F2C92" w:rsidRDefault="000F2C92" w:rsidP="00B4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ABDD" w14:textId="77777777" w:rsidR="00AC68CC" w:rsidRDefault="00AC68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5A4108" w:rsidRPr="00D90F1F" w14:paraId="4D959A4E" w14:textId="77777777" w:rsidTr="005A4108">
      <w:trPr>
        <w:trHeight w:val="630"/>
      </w:trPr>
      <w:tc>
        <w:tcPr>
          <w:tcW w:w="9072" w:type="dxa"/>
          <w:vAlign w:val="bottom"/>
        </w:tcPr>
        <w:p w14:paraId="5AA04813" w14:textId="77777777" w:rsidR="005A4108" w:rsidRPr="00D90F1F" w:rsidRDefault="005A4108" w:rsidP="005A4108">
          <w:pPr>
            <w:pStyle w:val="Nagwek2"/>
            <w:spacing w:after="0"/>
            <w:rPr>
              <w:rFonts w:ascii="Arial" w:hAnsi="Arial" w:cs="Arial"/>
              <w:color w:val="000000" w:themeColor="text1"/>
              <w:szCs w:val="18"/>
            </w:rPr>
          </w:pPr>
          <w:r w:rsidRPr="00D90F1F">
            <w:rPr>
              <w:rFonts w:ascii="Arial" w:hAnsi="Arial" w:cs="Arial"/>
              <w:color w:val="000000" w:themeColor="text1"/>
              <w:szCs w:val="18"/>
            </w:rPr>
            <w:t>Dodatkowe informacje:</w:t>
          </w:r>
        </w:p>
        <w:tbl>
          <w:tblPr>
            <w:tblStyle w:val="Tabela-Siatk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390"/>
            <w:gridCol w:w="283"/>
            <w:gridCol w:w="4389"/>
          </w:tblGrid>
          <w:tr w:rsidR="00D90F1F" w:rsidRPr="00D90F1F" w14:paraId="6A6C1766" w14:textId="77777777" w:rsidTr="00D90F1F">
            <w:tc>
              <w:tcPr>
                <w:tcW w:w="4390" w:type="dxa"/>
              </w:tcPr>
              <w:p w14:paraId="3F32F890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Karolina Samczyńska</w:t>
                </w:r>
              </w:p>
              <w:p w14:paraId="0CB5CBE3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Cushman &amp; Wakefield</w:t>
                </w:r>
              </w:p>
              <w:p w14:paraId="18CD5389" w14:textId="5E2DC5E0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Karolina.samczynska@cushwake.com</w:t>
                </w:r>
              </w:p>
            </w:tc>
            <w:tc>
              <w:tcPr>
                <w:tcW w:w="283" w:type="dxa"/>
              </w:tcPr>
              <w:p w14:paraId="180A64F2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</w:p>
            </w:tc>
            <w:tc>
              <w:tcPr>
                <w:tcW w:w="4389" w:type="dxa"/>
              </w:tcPr>
              <w:p w14:paraId="1CB4134C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Magdalena Znyk-Ossowska</w:t>
                </w:r>
              </w:p>
              <w:p w14:paraId="03EB2711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Linkleaders</w:t>
                </w:r>
              </w:p>
              <w:p w14:paraId="20B6FF72" w14:textId="12F1D66A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hyperlink r:id="rId1" w:history="1">
                  <w:r w:rsidRPr="00E62AA2">
                    <w:rPr>
                      <w:rStyle w:val="Hipercze"/>
                      <w:rFonts w:ascii="Arial" w:hAnsi="Arial" w:cs="Arial"/>
                      <w:sz w:val="18"/>
                      <w:szCs w:val="18"/>
                      <w:lang w:val="pl-PL" w:eastAsia="en-GB"/>
                    </w:rPr>
                    <w:t>Magdalena.ossowska@linkleaders.pl</w:t>
                  </w:r>
                </w:hyperlink>
              </w:p>
              <w:p w14:paraId="61CF57E7" w14:textId="2AD6C4D9" w:rsidR="00D90F1F" w:rsidRPr="00D90F1F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eastAsia="en-GB"/>
                  </w:rPr>
                </w:pPr>
                <w:r w:rsidRPr="00D90F1F">
                  <w:rPr>
                    <w:rFonts w:ascii="Arial" w:hAnsi="Arial" w:cs="Arial"/>
                    <w:sz w:val="18"/>
                    <w:szCs w:val="18"/>
                    <w:lang w:eastAsia="en-GB"/>
                  </w:rPr>
                  <w:t>+48 502 556 846</w:t>
                </w:r>
              </w:p>
            </w:tc>
          </w:tr>
        </w:tbl>
        <w:p w14:paraId="7B6ADC62" w14:textId="347A28EF" w:rsidR="005A4108" w:rsidRPr="00D90F1F" w:rsidRDefault="005A4108" w:rsidP="005A4108">
          <w:pPr>
            <w:rPr>
              <w:rFonts w:ascii="Arial" w:hAnsi="Arial" w:cs="Arial"/>
              <w:sz w:val="18"/>
              <w:szCs w:val="18"/>
              <w:lang w:eastAsia="en-GB"/>
            </w:rPr>
          </w:pPr>
        </w:p>
      </w:tc>
    </w:tr>
  </w:tbl>
  <w:p w14:paraId="7E1394D2" w14:textId="77777777" w:rsidR="00423291" w:rsidRDefault="004232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EB34" w14:textId="77777777" w:rsidR="00AC68CC" w:rsidRDefault="00AC6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9B96" w14:textId="77777777" w:rsidR="000F2C92" w:rsidRDefault="000F2C92" w:rsidP="00B4789E">
      <w:pPr>
        <w:spacing w:after="0" w:line="240" w:lineRule="auto"/>
      </w:pPr>
      <w:r>
        <w:separator/>
      </w:r>
    </w:p>
  </w:footnote>
  <w:footnote w:type="continuationSeparator" w:id="0">
    <w:p w14:paraId="108AEBC7" w14:textId="77777777" w:rsidR="000F2C92" w:rsidRDefault="000F2C92" w:rsidP="00B4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C9E8" w14:textId="77777777" w:rsidR="00AC68CC" w:rsidRDefault="00AC68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0E69" w14:textId="1F0B0BF5" w:rsidR="00B4789E" w:rsidRDefault="00B4789E">
    <w:pPr>
      <w:pStyle w:val="Nagwek"/>
    </w:pPr>
    <w:r>
      <w:rPr>
        <w:noProof/>
        <w:lang w:eastAsia="en-GB"/>
      </w:rPr>
      <w:drawing>
        <wp:inline distT="0" distB="0" distL="0" distR="0" wp14:anchorId="05D67C11" wp14:editId="10624549">
          <wp:extent cx="2303780" cy="484505"/>
          <wp:effectExtent l="0" t="0" r="1270" b="0"/>
          <wp:docPr id="1" name="Picture 1" descr="E:\CW REBRAND\Assets\CW Logo Suite\Cushman &amp; Wakefield\CW_Logo_PMS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:\CW REBRAND\Assets\CW Logo Suite\Cushman &amp; Wakefield\CW_Logo_PM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F015D" w14:textId="77777777" w:rsidR="003E3B94" w:rsidRDefault="003E3B94">
    <w:pPr>
      <w:pStyle w:val="Nagwek"/>
    </w:pPr>
  </w:p>
  <w:p w14:paraId="2ED2DE24" w14:textId="77777777" w:rsidR="003E3B94" w:rsidRDefault="003E3B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A674" w14:textId="77777777" w:rsidR="00AC68CC" w:rsidRDefault="00AC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7C1"/>
    <w:multiLevelType w:val="hybridMultilevel"/>
    <w:tmpl w:val="F7EC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4C13"/>
    <w:multiLevelType w:val="hybridMultilevel"/>
    <w:tmpl w:val="6720D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F7D35"/>
    <w:multiLevelType w:val="multilevel"/>
    <w:tmpl w:val="72F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E5759"/>
    <w:multiLevelType w:val="hybridMultilevel"/>
    <w:tmpl w:val="B9DC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B3687"/>
    <w:multiLevelType w:val="hybridMultilevel"/>
    <w:tmpl w:val="52EA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C2529"/>
    <w:multiLevelType w:val="hybridMultilevel"/>
    <w:tmpl w:val="C3B81DFC"/>
    <w:lvl w:ilvl="0" w:tplc="6EAE8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28915">
    <w:abstractNumId w:val="5"/>
  </w:num>
  <w:num w:numId="2" w16cid:durableId="828979821">
    <w:abstractNumId w:val="3"/>
  </w:num>
  <w:num w:numId="3" w16cid:durableId="341512513">
    <w:abstractNumId w:val="3"/>
  </w:num>
  <w:num w:numId="4" w16cid:durableId="2109498111">
    <w:abstractNumId w:val="0"/>
  </w:num>
  <w:num w:numId="5" w16cid:durableId="1684627706">
    <w:abstractNumId w:val="1"/>
  </w:num>
  <w:num w:numId="6" w16cid:durableId="1095906722">
    <w:abstractNumId w:val="4"/>
  </w:num>
  <w:num w:numId="7" w16cid:durableId="1550071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B0"/>
    <w:rsid w:val="00000E9F"/>
    <w:rsid w:val="000067D7"/>
    <w:rsid w:val="00006833"/>
    <w:rsid w:val="00006DAA"/>
    <w:rsid w:val="000108E6"/>
    <w:rsid w:val="000112BB"/>
    <w:rsid w:val="00011B30"/>
    <w:rsid w:val="000132C1"/>
    <w:rsid w:val="000133D7"/>
    <w:rsid w:val="000149B7"/>
    <w:rsid w:val="00016906"/>
    <w:rsid w:val="0002024E"/>
    <w:rsid w:val="00023BAB"/>
    <w:rsid w:val="00027407"/>
    <w:rsid w:val="000306E9"/>
    <w:rsid w:val="0003213E"/>
    <w:rsid w:val="000325A9"/>
    <w:rsid w:val="0003575D"/>
    <w:rsid w:val="000404E1"/>
    <w:rsid w:val="000405CD"/>
    <w:rsid w:val="00040853"/>
    <w:rsid w:val="00054C66"/>
    <w:rsid w:val="00070062"/>
    <w:rsid w:val="00071142"/>
    <w:rsid w:val="00077CD8"/>
    <w:rsid w:val="00085206"/>
    <w:rsid w:val="00093715"/>
    <w:rsid w:val="00094B65"/>
    <w:rsid w:val="00096511"/>
    <w:rsid w:val="000A173D"/>
    <w:rsid w:val="000B0652"/>
    <w:rsid w:val="000B2DCA"/>
    <w:rsid w:val="000B437C"/>
    <w:rsid w:val="000B49B9"/>
    <w:rsid w:val="000B6A55"/>
    <w:rsid w:val="000C4963"/>
    <w:rsid w:val="000D39A7"/>
    <w:rsid w:val="000D4F32"/>
    <w:rsid w:val="000D5C1C"/>
    <w:rsid w:val="000D6E96"/>
    <w:rsid w:val="000D7599"/>
    <w:rsid w:val="000E2D90"/>
    <w:rsid w:val="000E3621"/>
    <w:rsid w:val="000E7313"/>
    <w:rsid w:val="000E76DC"/>
    <w:rsid w:val="000F0C81"/>
    <w:rsid w:val="000F2C92"/>
    <w:rsid w:val="000F5826"/>
    <w:rsid w:val="000F5D59"/>
    <w:rsid w:val="000F661E"/>
    <w:rsid w:val="000F6980"/>
    <w:rsid w:val="000F6D1C"/>
    <w:rsid w:val="000F7AC5"/>
    <w:rsid w:val="000F7F0D"/>
    <w:rsid w:val="001002DD"/>
    <w:rsid w:val="001042E2"/>
    <w:rsid w:val="00114D59"/>
    <w:rsid w:val="0011789D"/>
    <w:rsid w:val="00122F7F"/>
    <w:rsid w:val="00124F11"/>
    <w:rsid w:val="001269A2"/>
    <w:rsid w:val="00126DBD"/>
    <w:rsid w:val="00130E33"/>
    <w:rsid w:val="00136558"/>
    <w:rsid w:val="00136AAF"/>
    <w:rsid w:val="001423BC"/>
    <w:rsid w:val="00145D6A"/>
    <w:rsid w:val="00153C6B"/>
    <w:rsid w:val="001550B3"/>
    <w:rsid w:val="001608DD"/>
    <w:rsid w:val="001625A5"/>
    <w:rsid w:val="00165957"/>
    <w:rsid w:val="001731B1"/>
    <w:rsid w:val="00173741"/>
    <w:rsid w:val="00180B34"/>
    <w:rsid w:val="001845B0"/>
    <w:rsid w:val="001A14BE"/>
    <w:rsid w:val="001B14F7"/>
    <w:rsid w:val="001B1A57"/>
    <w:rsid w:val="001B7E7F"/>
    <w:rsid w:val="001C4652"/>
    <w:rsid w:val="001D055C"/>
    <w:rsid w:val="001D4385"/>
    <w:rsid w:val="001D4B86"/>
    <w:rsid w:val="001D5D43"/>
    <w:rsid w:val="001D7E4A"/>
    <w:rsid w:val="001E4332"/>
    <w:rsid w:val="001E4AC4"/>
    <w:rsid w:val="001E4C15"/>
    <w:rsid w:val="001F0591"/>
    <w:rsid w:val="001F3D2C"/>
    <w:rsid w:val="001F4DE5"/>
    <w:rsid w:val="001F70C5"/>
    <w:rsid w:val="001F7D1A"/>
    <w:rsid w:val="00200EC1"/>
    <w:rsid w:val="0020248A"/>
    <w:rsid w:val="00204FC5"/>
    <w:rsid w:val="002050DA"/>
    <w:rsid w:val="00205E80"/>
    <w:rsid w:val="00210FDB"/>
    <w:rsid w:val="00212060"/>
    <w:rsid w:val="00213339"/>
    <w:rsid w:val="002158ED"/>
    <w:rsid w:val="00216986"/>
    <w:rsid w:val="002254D9"/>
    <w:rsid w:val="002352BD"/>
    <w:rsid w:val="00241AE9"/>
    <w:rsid w:val="00241C09"/>
    <w:rsid w:val="0024422A"/>
    <w:rsid w:val="00246BE5"/>
    <w:rsid w:val="00255A14"/>
    <w:rsid w:val="00257250"/>
    <w:rsid w:val="00262854"/>
    <w:rsid w:val="002634B2"/>
    <w:rsid w:val="00265676"/>
    <w:rsid w:val="00267AD2"/>
    <w:rsid w:val="00270237"/>
    <w:rsid w:val="002717E1"/>
    <w:rsid w:val="002727FD"/>
    <w:rsid w:val="002742DC"/>
    <w:rsid w:val="00276A3C"/>
    <w:rsid w:val="00280665"/>
    <w:rsid w:val="00281D3B"/>
    <w:rsid w:val="00285D78"/>
    <w:rsid w:val="0028721A"/>
    <w:rsid w:val="002876CB"/>
    <w:rsid w:val="00290FA7"/>
    <w:rsid w:val="00292575"/>
    <w:rsid w:val="00292E43"/>
    <w:rsid w:val="002A45BD"/>
    <w:rsid w:val="002A5FF2"/>
    <w:rsid w:val="002A670E"/>
    <w:rsid w:val="002B3C16"/>
    <w:rsid w:val="002B4818"/>
    <w:rsid w:val="002C0015"/>
    <w:rsid w:val="002C3421"/>
    <w:rsid w:val="002D4B8D"/>
    <w:rsid w:val="002E23AC"/>
    <w:rsid w:val="002E7BB8"/>
    <w:rsid w:val="002F1273"/>
    <w:rsid w:val="002F48DE"/>
    <w:rsid w:val="002F6042"/>
    <w:rsid w:val="00300089"/>
    <w:rsid w:val="00300A21"/>
    <w:rsid w:val="003014BA"/>
    <w:rsid w:val="003023A9"/>
    <w:rsid w:val="003024DB"/>
    <w:rsid w:val="00303DE2"/>
    <w:rsid w:val="00303F8E"/>
    <w:rsid w:val="00310A1E"/>
    <w:rsid w:val="00312A8D"/>
    <w:rsid w:val="00313D4E"/>
    <w:rsid w:val="003141E8"/>
    <w:rsid w:val="00321D37"/>
    <w:rsid w:val="00330E14"/>
    <w:rsid w:val="00332821"/>
    <w:rsid w:val="00332ECC"/>
    <w:rsid w:val="00334009"/>
    <w:rsid w:val="003367FA"/>
    <w:rsid w:val="00337761"/>
    <w:rsid w:val="0033791A"/>
    <w:rsid w:val="003446B4"/>
    <w:rsid w:val="0035169F"/>
    <w:rsid w:val="00354D36"/>
    <w:rsid w:val="00362944"/>
    <w:rsid w:val="00366956"/>
    <w:rsid w:val="0036720A"/>
    <w:rsid w:val="00374C28"/>
    <w:rsid w:val="00374DB0"/>
    <w:rsid w:val="00377AB0"/>
    <w:rsid w:val="00384E14"/>
    <w:rsid w:val="003856C7"/>
    <w:rsid w:val="00390809"/>
    <w:rsid w:val="00390AFE"/>
    <w:rsid w:val="003929C3"/>
    <w:rsid w:val="00393F8B"/>
    <w:rsid w:val="0039713F"/>
    <w:rsid w:val="003A085C"/>
    <w:rsid w:val="003A17A9"/>
    <w:rsid w:val="003A2C36"/>
    <w:rsid w:val="003B00AA"/>
    <w:rsid w:val="003B4D9C"/>
    <w:rsid w:val="003C14F6"/>
    <w:rsid w:val="003C2770"/>
    <w:rsid w:val="003C3C47"/>
    <w:rsid w:val="003C4087"/>
    <w:rsid w:val="003C5B82"/>
    <w:rsid w:val="003C6725"/>
    <w:rsid w:val="003D1EF7"/>
    <w:rsid w:val="003D4913"/>
    <w:rsid w:val="003D5075"/>
    <w:rsid w:val="003E0ED3"/>
    <w:rsid w:val="003E256A"/>
    <w:rsid w:val="003E2C2E"/>
    <w:rsid w:val="003E37D1"/>
    <w:rsid w:val="003E3B94"/>
    <w:rsid w:val="003E5BC2"/>
    <w:rsid w:val="003F6CD3"/>
    <w:rsid w:val="0040762B"/>
    <w:rsid w:val="00414985"/>
    <w:rsid w:val="00415B7E"/>
    <w:rsid w:val="00415EB3"/>
    <w:rsid w:val="00423291"/>
    <w:rsid w:val="00425507"/>
    <w:rsid w:val="004256CF"/>
    <w:rsid w:val="00441762"/>
    <w:rsid w:val="0044205C"/>
    <w:rsid w:val="0044524E"/>
    <w:rsid w:val="004506C7"/>
    <w:rsid w:val="00451BD3"/>
    <w:rsid w:val="00462439"/>
    <w:rsid w:val="00462BBA"/>
    <w:rsid w:val="004729B9"/>
    <w:rsid w:val="0047309C"/>
    <w:rsid w:val="00473ED2"/>
    <w:rsid w:val="00474A69"/>
    <w:rsid w:val="00485C6A"/>
    <w:rsid w:val="00487CAD"/>
    <w:rsid w:val="00494446"/>
    <w:rsid w:val="004A02E6"/>
    <w:rsid w:val="004A1613"/>
    <w:rsid w:val="004A49B5"/>
    <w:rsid w:val="004B048F"/>
    <w:rsid w:val="004B2173"/>
    <w:rsid w:val="004B4D12"/>
    <w:rsid w:val="004C4AE2"/>
    <w:rsid w:val="004C5545"/>
    <w:rsid w:val="004D03D8"/>
    <w:rsid w:val="004D16FF"/>
    <w:rsid w:val="004D2E9B"/>
    <w:rsid w:val="004E0D3A"/>
    <w:rsid w:val="004E3A72"/>
    <w:rsid w:val="004E488F"/>
    <w:rsid w:val="004F1406"/>
    <w:rsid w:val="004F5215"/>
    <w:rsid w:val="004F53F4"/>
    <w:rsid w:val="004F7CA3"/>
    <w:rsid w:val="00502DAF"/>
    <w:rsid w:val="00522466"/>
    <w:rsid w:val="00523A74"/>
    <w:rsid w:val="00524B12"/>
    <w:rsid w:val="005255E7"/>
    <w:rsid w:val="0052651A"/>
    <w:rsid w:val="00545F5B"/>
    <w:rsid w:val="00546218"/>
    <w:rsid w:val="00554323"/>
    <w:rsid w:val="00557552"/>
    <w:rsid w:val="005575EF"/>
    <w:rsid w:val="00562AF3"/>
    <w:rsid w:val="0056340D"/>
    <w:rsid w:val="005676B0"/>
    <w:rsid w:val="00573390"/>
    <w:rsid w:val="0057425D"/>
    <w:rsid w:val="00576801"/>
    <w:rsid w:val="00577CC7"/>
    <w:rsid w:val="00581165"/>
    <w:rsid w:val="005A0E20"/>
    <w:rsid w:val="005A136E"/>
    <w:rsid w:val="005A4108"/>
    <w:rsid w:val="005A45D7"/>
    <w:rsid w:val="005C1B9C"/>
    <w:rsid w:val="005C3DBB"/>
    <w:rsid w:val="005D412D"/>
    <w:rsid w:val="005E0DAB"/>
    <w:rsid w:val="005E1525"/>
    <w:rsid w:val="005E6D8A"/>
    <w:rsid w:val="005F0528"/>
    <w:rsid w:val="005F14CE"/>
    <w:rsid w:val="005F32FC"/>
    <w:rsid w:val="0060200D"/>
    <w:rsid w:val="00602CAD"/>
    <w:rsid w:val="0060382F"/>
    <w:rsid w:val="0060604A"/>
    <w:rsid w:val="006110F4"/>
    <w:rsid w:val="00611431"/>
    <w:rsid w:val="006178AB"/>
    <w:rsid w:val="00624E99"/>
    <w:rsid w:val="0063430D"/>
    <w:rsid w:val="0063470E"/>
    <w:rsid w:val="00643193"/>
    <w:rsid w:val="00650DEE"/>
    <w:rsid w:val="00651278"/>
    <w:rsid w:val="00653D5E"/>
    <w:rsid w:val="006546FF"/>
    <w:rsid w:val="00663BEA"/>
    <w:rsid w:val="00676D56"/>
    <w:rsid w:val="00680DE3"/>
    <w:rsid w:val="00682F5C"/>
    <w:rsid w:val="006868A8"/>
    <w:rsid w:val="0068799A"/>
    <w:rsid w:val="00690332"/>
    <w:rsid w:val="00692A56"/>
    <w:rsid w:val="00692BCA"/>
    <w:rsid w:val="006962E8"/>
    <w:rsid w:val="00697405"/>
    <w:rsid w:val="006A4AE7"/>
    <w:rsid w:val="006A6355"/>
    <w:rsid w:val="006A7548"/>
    <w:rsid w:val="006B1BF7"/>
    <w:rsid w:val="006B2B8F"/>
    <w:rsid w:val="006B2D2C"/>
    <w:rsid w:val="006B2DB1"/>
    <w:rsid w:val="006B2E15"/>
    <w:rsid w:val="006B2F4C"/>
    <w:rsid w:val="006B3754"/>
    <w:rsid w:val="006B47A8"/>
    <w:rsid w:val="006B5459"/>
    <w:rsid w:val="006C0081"/>
    <w:rsid w:val="006C119E"/>
    <w:rsid w:val="006C25FA"/>
    <w:rsid w:val="006C2AD7"/>
    <w:rsid w:val="006C453A"/>
    <w:rsid w:val="006D5DF9"/>
    <w:rsid w:val="006D786B"/>
    <w:rsid w:val="006E0D32"/>
    <w:rsid w:val="006E3794"/>
    <w:rsid w:val="006E4220"/>
    <w:rsid w:val="006E4C41"/>
    <w:rsid w:val="006F0A28"/>
    <w:rsid w:val="006F6967"/>
    <w:rsid w:val="00702974"/>
    <w:rsid w:val="0070680F"/>
    <w:rsid w:val="00707C05"/>
    <w:rsid w:val="00713C0A"/>
    <w:rsid w:val="00715308"/>
    <w:rsid w:val="0072155A"/>
    <w:rsid w:val="0072337E"/>
    <w:rsid w:val="00725C6C"/>
    <w:rsid w:val="007417F6"/>
    <w:rsid w:val="00743612"/>
    <w:rsid w:val="00747169"/>
    <w:rsid w:val="00752535"/>
    <w:rsid w:val="00752763"/>
    <w:rsid w:val="00756DCC"/>
    <w:rsid w:val="00757440"/>
    <w:rsid w:val="00763FCD"/>
    <w:rsid w:val="00765C5A"/>
    <w:rsid w:val="00775342"/>
    <w:rsid w:val="00775C21"/>
    <w:rsid w:val="00780863"/>
    <w:rsid w:val="0078123E"/>
    <w:rsid w:val="0078330D"/>
    <w:rsid w:val="00790779"/>
    <w:rsid w:val="00793D47"/>
    <w:rsid w:val="007A12EC"/>
    <w:rsid w:val="007A28A1"/>
    <w:rsid w:val="007A416D"/>
    <w:rsid w:val="007A6472"/>
    <w:rsid w:val="007B4269"/>
    <w:rsid w:val="007B5E28"/>
    <w:rsid w:val="007B611D"/>
    <w:rsid w:val="007B7258"/>
    <w:rsid w:val="007B7EBD"/>
    <w:rsid w:val="007C0F1A"/>
    <w:rsid w:val="007C33AA"/>
    <w:rsid w:val="007C5BAD"/>
    <w:rsid w:val="007C7051"/>
    <w:rsid w:val="007D6E93"/>
    <w:rsid w:val="007E73A0"/>
    <w:rsid w:val="007F05C3"/>
    <w:rsid w:val="007F4213"/>
    <w:rsid w:val="007F4542"/>
    <w:rsid w:val="007F595B"/>
    <w:rsid w:val="00801675"/>
    <w:rsid w:val="0080245F"/>
    <w:rsid w:val="00802AF0"/>
    <w:rsid w:val="00805E3A"/>
    <w:rsid w:val="00806884"/>
    <w:rsid w:val="008069A7"/>
    <w:rsid w:val="00807467"/>
    <w:rsid w:val="008102B4"/>
    <w:rsid w:val="00815717"/>
    <w:rsid w:val="0082015F"/>
    <w:rsid w:val="008236F3"/>
    <w:rsid w:val="00824AF5"/>
    <w:rsid w:val="00825D06"/>
    <w:rsid w:val="00826FA4"/>
    <w:rsid w:val="0082710A"/>
    <w:rsid w:val="008329B6"/>
    <w:rsid w:val="00834025"/>
    <w:rsid w:val="00837997"/>
    <w:rsid w:val="00843DEF"/>
    <w:rsid w:val="0084444A"/>
    <w:rsid w:val="00844B35"/>
    <w:rsid w:val="008552F1"/>
    <w:rsid w:val="008624B6"/>
    <w:rsid w:val="00863F30"/>
    <w:rsid w:val="00866D4A"/>
    <w:rsid w:val="00870A33"/>
    <w:rsid w:val="00884E37"/>
    <w:rsid w:val="0089723B"/>
    <w:rsid w:val="008A3DF5"/>
    <w:rsid w:val="008A6BFC"/>
    <w:rsid w:val="008B094B"/>
    <w:rsid w:val="008B18EA"/>
    <w:rsid w:val="008B4582"/>
    <w:rsid w:val="008B4F2F"/>
    <w:rsid w:val="008C149B"/>
    <w:rsid w:val="008C1CC7"/>
    <w:rsid w:val="008C2D44"/>
    <w:rsid w:val="008C55D8"/>
    <w:rsid w:val="008C6DCF"/>
    <w:rsid w:val="008C74DA"/>
    <w:rsid w:val="008D5758"/>
    <w:rsid w:val="008E0C82"/>
    <w:rsid w:val="008E0D1B"/>
    <w:rsid w:val="008E1A5B"/>
    <w:rsid w:val="008E1C2E"/>
    <w:rsid w:val="008F550C"/>
    <w:rsid w:val="008F7059"/>
    <w:rsid w:val="0090636D"/>
    <w:rsid w:val="009072A0"/>
    <w:rsid w:val="00907C30"/>
    <w:rsid w:val="00914559"/>
    <w:rsid w:val="00920688"/>
    <w:rsid w:val="009207AD"/>
    <w:rsid w:val="009210F8"/>
    <w:rsid w:val="00921E2A"/>
    <w:rsid w:val="009231EA"/>
    <w:rsid w:val="009252CD"/>
    <w:rsid w:val="009274DC"/>
    <w:rsid w:val="00933F4B"/>
    <w:rsid w:val="009351EE"/>
    <w:rsid w:val="009420D1"/>
    <w:rsid w:val="009462E2"/>
    <w:rsid w:val="009516B4"/>
    <w:rsid w:val="00951B5E"/>
    <w:rsid w:val="00951E7F"/>
    <w:rsid w:val="00952321"/>
    <w:rsid w:val="00954A76"/>
    <w:rsid w:val="00955639"/>
    <w:rsid w:val="009629ED"/>
    <w:rsid w:val="00964F69"/>
    <w:rsid w:val="00966B13"/>
    <w:rsid w:val="00974927"/>
    <w:rsid w:val="009808B8"/>
    <w:rsid w:val="00984BF9"/>
    <w:rsid w:val="00986A19"/>
    <w:rsid w:val="00986B64"/>
    <w:rsid w:val="009924DF"/>
    <w:rsid w:val="009949E8"/>
    <w:rsid w:val="00994C68"/>
    <w:rsid w:val="00994CB3"/>
    <w:rsid w:val="009A2A96"/>
    <w:rsid w:val="009A4501"/>
    <w:rsid w:val="009B080C"/>
    <w:rsid w:val="009B08AC"/>
    <w:rsid w:val="009B301B"/>
    <w:rsid w:val="009B5091"/>
    <w:rsid w:val="009C0E50"/>
    <w:rsid w:val="009C614D"/>
    <w:rsid w:val="009C69F3"/>
    <w:rsid w:val="009D5AF7"/>
    <w:rsid w:val="009D75D2"/>
    <w:rsid w:val="009D7CC8"/>
    <w:rsid w:val="009E05E2"/>
    <w:rsid w:val="009E6D1E"/>
    <w:rsid w:val="009F0BE9"/>
    <w:rsid w:val="009F32D6"/>
    <w:rsid w:val="009F399D"/>
    <w:rsid w:val="009F72E8"/>
    <w:rsid w:val="00A04DCE"/>
    <w:rsid w:val="00A07146"/>
    <w:rsid w:val="00A12F9F"/>
    <w:rsid w:val="00A163DB"/>
    <w:rsid w:val="00A1709B"/>
    <w:rsid w:val="00A30DB9"/>
    <w:rsid w:val="00A35E58"/>
    <w:rsid w:val="00A46943"/>
    <w:rsid w:val="00A55E27"/>
    <w:rsid w:val="00A62E01"/>
    <w:rsid w:val="00A64AFD"/>
    <w:rsid w:val="00A70B06"/>
    <w:rsid w:val="00A71FD4"/>
    <w:rsid w:val="00A72D03"/>
    <w:rsid w:val="00A81FD9"/>
    <w:rsid w:val="00A82125"/>
    <w:rsid w:val="00A8383A"/>
    <w:rsid w:val="00A87F4A"/>
    <w:rsid w:val="00A93F19"/>
    <w:rsid w:val="00A949B2"/>
    <w:rsid w:val="00A96D6F"/>
    <w:rsid w:val="00A9787C"/>
    <w:rsid w:val="00AA7253"/>
    <w:rsid w:val="00AB0662"/>
    <w:rsid w:val="00AB6D1C"/>
    <w:rsid w:val="00AC33BC"/>
    <w:rsid w:val="00AC68CC"/>
    <w:rsid w:val="00AD610C"/>
    <w:rsid w:val="00AE21DF"/>
    <w:rsid w:val="00AE5A5A"/>
    <w:rsid w:val="00AF71D1"/>
    <w:rsid w:val="00AF7F06"/>
    <w:rsid w:val="00B016D9"/>
    <w:rsid w:val="00B017D7"/>
    <w:rsid w:val="00B0291B"/>
    <w:rsid w:val="00B144B1"/>
    <w:rsid w:val="00B2126E"/>
    <w:rsid w:val="00B27F0A"/>
    <w:rsid w:val="00B35A1E"/>
    <w:rsid w:val="00B37038"/>
    <w:rsid w:val="00B375C4"/>
    <w:rsid w:val="00B4789E"/>
    <w:rsid w:val="00B5039A"/>
    <w:rsid w:val="00B50769"/>
    <w:rsid w:val="00B51F97"/>
    <w:rsid w:val="00B527C2"/>
    <w:rsid w:val="00B6279C"/>
    <w:rsid w:val="00B73358"/>
    <w:rsid w:val="00B82311"/>
    <w:rsid w:val="00BA0F99"/>
    <w:rsid w:val="00BA2600"/>
    <w:rsid w:val="00BA2603"/>
    <w:rsid w:val="00BB035E"/>
    <w:rsid w:val="00BB2E42"/>
    <w:rsid w:val="00BC0ADB"/>
    <w:rsid w:val="00BC637B"/>
    <w:rsid w:val="00BC6501"/>
    <w:rsid w:val="00BC76A0"/>
    <w:rsid w:val="00BD2408"/>
    <w:rsid w:val="00BD780A"/>
    <w:rsid w:val="00BE3E76"/>
    <w:rsid w:val="00BE4682"/>
    <w:rsid w:val="00BE4753"/>
    <w:rsid w:val="00BE784A"/>
    <w:rsid w:val="00BF03CB"/>
    <w:rsid w:val="00C00442"/>
    <w:rsid w:val="00C04C32"/>
    <w:rsid w:val="00C07DC3"/>
    <w:rsid w:val="00C10397"/>
    <w:rsid w:val="00C13FBD"/>
    <w:rsid w:val="00C159DE"/>
    <w:rsid w:val="00C22951"/>
    <w:rsid w:val="00C26D0C"/>
    <w:rsid w:val="00C306C9"/>
    <w:rsid w:val="00C30942"/>
    <w:rsid w:val="00C31D78"/>
    <w:rsid w:val="00C33694"/>
    <w:rsid w:val="00C376D7"/>
    <w:rsid w:val="00C37A80"/>
    <w:rsid w:val="00C45545"/>
    <w:rsid w:val="00C63A46"/>
    <w:rsid w:val="00C67886"/>
    <w:rsid w:val="00C77ABF"/>
    <w:rsid w:val="00C80D69"/>
    <w:rsid w:val="00C83B52"/>
    <w:rsid w:val="00C85F6C"/>
    <w:rsid w:val="00C905B1"/>
    <w:rsid w:val="00C92E49"/>
    <w:rsid w:val="00C949AA"/>
    <w:rsid w:val="00CA3151"/>
    <w:rsid w:val="00CA42A6"/>
    <w:rsid w:val="00CA6EC8"/>
    <w:rsid w:val="00CC10C2"/>
    <w:rsid w:val="00CC30C0"/>
    <w:rsid w:val="00CC39F6"/>
    <w:rsid w:val="00CC57EC"/>
    <w:rsid w:val="00CC5A86"/>
    <w:rsid w:val="00CC67F0"/>
    <w:rsid w:val="00CD1BC8"/>
    <w:rsid w:val="00CD3CF9"/>
    <w:rsid w:val="00CE780F"/>
    <w:rsid w:val="00D00D00"/>
    <w:rsid w:val="00D01FCE"/>
    <w:rsid w:val="00D075EF"/>
    <w:rsid w:val="00D07A7C"/>
    <w:rsid w:val="00D13C84"/>
    <w:rsid w:val="00D21FB5"/>
    <w:rsid w:val="00D337DA"/>
    <w:rsid w:val="00D42E58"/>
    <w:rsid w:val="00D43209"/>
    <w:rsid w:val="00D44D66"/>
    <w:rsid w:val="00D47D77"/>
    <w:rsid w:val="00D5467A"/>
    <w:rsid w:val="00D568B1"/>
    <w:rsid w:val="00D57881"/>
    <w:rsid w:val="00D60FED"/>
    <w:rsid w:val="00D6473E"/>
    <w:rsid w:val="00D66E75"/>
    <w:rsid w:val="00D76AE1"/>
    <w:rsid w:val="00D76E08"/>
    <w:rsid w:val="00D83C1D"/>
    <w:rsid w:val="00D87098"/>
    <w:rsid w:val="00D90F1F"/>
    <w:rsid w:val="00D915E0"/>
    <w:rsid w:val="00D91AA3"/>
    <w:rsid w:val="00D923E1"/>
    <w:rsid w:val="00D92F22"/>
    <w:rsid w:val="00D93943"/>
    <w:rsid w:val="00D93E7B"/>
    <w:rsid w:val="00DA158E"/>
    <w:rsid w:val="00DA3C73"/>
    <w:rsid w:val="00DA3D98"/>
    <w:rsid w:val="00DA579D"/>
    <w:rsid w:val="00DA600D"/>
    <w:rsid w:val="00DB70A1"/>
    <w:rsid w:val="00DB7336"/>
    <w:rsid w:val="00DD1E0C"/>
    <w:rsid w:val="00DD25B1"/>
    <w:rsid w:val="00DD3BBC"/>
    <w:rsid w:val="00DD6D94"/>
    <w:rsid w:val="00DE1230"/>
    <w:rsid w:val="00DE641E"/>
    <w:rsid w:val="00DF075D"/>
    <w:rsid w:val="00DF09D0"/>
    <w:rsid w:val="00DF674E"/>
    <w:rsid w:val="00E10442"/>
    <w:rsid w:val="00E122D4"/>
    <w:rsid w:val="00E14F35"/>
    <w:rsid w:val="00E22061"/>
    <w:rsid w:val="00E2400D"/>
    <w:rsid w:val="00E24D77"/>
    <w:rsid w:val="00E3252F"/>
    <w:rsid w:val="00E32E2E"/>
    <w:rsid w:val="00E35B38"/>
    <w:rsid w:val="00E60BA3"/>
    <w:rsid w:val="00E61826"/>
    <w:rsid w:val="00E62AA2"/>
    <w:rsid w:val="00E63226"/>
    <w:rsid w:val="00E65938"/>
    <w:rsid w:val="00E73A25"/>
    <w:rsid w:val="00E749C3"/>
    <w:rsid w:val="00E81522"/>
    <w:rsid w:val="00E83D7A"/>
    <w:rsid w:val="00E84847"/>
    <w:rsid w:val="00E939E3"/>
    <w:rsid w:val="00EA2B76"/>
    <w:rsid w:val="00EA39D6"/>
    <w:rsid w:val="00EA4C99"/>
    <w:rsid w:val="00EB0A4A"/>
    <w:rsid w:val="00EC0877"/>
    <w:rsid w:val="00EC19A4"/>
    <w:rsid w:val="00EC7C8A"/>
    <w:rsid w:val="00ED0B39"/>
    <w:rsid w:val="00ED0FA9"/>
    <w:rsid w:val="00ED1CD0"/>
    <w:rsid w:val="00ED2DEF"/>
    <w:rsid w:val="00ED3455"/>
    <w:rsid w:val="00ED7332"/>
    <w:rsid w:val="00EE655F"/>
    <w:rsid w:val="00EF0B98"/>
    <w:rsid w:val="00EF1350"/>
    <w:rsid w:val="00EF3487"/>
    <w:rsid w:val="00EF41B2"/>
    <w:rsid w:val="00F17293"/>
    <w:rsid w:val="00F17D59"/>
    <w:rsid w:val="00F20EFC"/>
    <w:rsid w:val="00F212D3"/>
    <w:rsid w:val="00F22417"/>
    <w:rsid w:val="00F26664"/>
    <w:rsid w:val="00F270D6"/>
    <w:rsid w:val="00F27B09"/>
    <w:rsid w:val="00F36DD7"/>
    <w:rsid w:val="00F506E4"/>
    <w:rsid w:val="00F509E5"/>
    <w:rsid w:val="00F57B90"/>
    <w:rsid w:val="00F66226"/>
    <w:rsid w:val="00F71EB7"/>
    <w:rsid w:val="00F71F02"/>
    <w:rsid w:val="00F73A60"/>
    <w:rsid w:val="00F74386"/>
    <w:rsid w:val="00F81D18"/>
    <w:rsid w:val="00F846E1"/>
    <w:rsid w:val="00F92C6A"/>
    <w:rsid w:val="00F941D5"/>
    <w:rsid w:val="00FA4539"/>
    <w:rsid w:val="00FA4B0A"/>
    <w:rsid w:val="00FA51E0"/>
    <w:rsid w:val="00FB0713"/>
    <w:rsid w:val="00FB44B6"/>
    <w:rsid w:val="00FC0CC7"/>
    <w:rsid w:val="00FC2E97"/>
    <w:rsid w:val="00FC4F8C"/>
    <w:rsid w:val="00FC5EAE"/>
    <w:rsid w:val="00FD184D"/>
    <w:rsid w:val="00FD2EF0"/>
    <w:rsid w:val="00FD3666"/>
    <w:rsid w:val="00FE15AB"/>
    <w:rsid w:val="00FE33FB"/>
    <w:rsid w:val="00FE3FFE"/>
    <w:rsid w:val="00FE4034"/>
    <w:rsid w:val="00FE67AF"/>
    <w:rsid w:val="00FF0CE7"/>
    <w:rsid w:val="00FF2027"/>
    <w:rsid w:val="00FF2499"/>
    <w:rsid w:val="00FF2FFC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AC560"/>
  <w15:chartTrackingRefBased/>
  <w15:docId w15:val="{C2BAF26A-6A2E-4ED6-94E7-3BFEE6D8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397"/>
  </w:style>
  <w:style w:type="paragraph" w:styleId="Nagwek1">
    <w:name w:val="heading 1"/>
    <w:basedOn w:val="Normalny"/>
    <w:next w:val="Normalny"/>
    <w:link w:val="Nagwek1Znak"/>
    <w:uiPriority w:val="9"/>
    <w:qFormat/>
    <w:rsid w:val="00014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23291"/>
    <w:pPr>
      <w:keepNext/>
      <w:keepLines/>
      <w:spacing w:after="100" w:line="240" w:lineRule="atLeast"/>
      <w:outlineLvl w:val="1"/>
    </w:pPr>
    <w:rPr>
      <w:rFonts w:ascii="Calibri" w:eastAsia="Times New Roman" w:hAnsi="Calibri" w:cs="Times New Roman"/>
      <w:b/>
      <w:bCs/>
      <w:caps/>
      <w:color w:val="008B98"/>
      <w:kern w:val="0"/>
      <w:sz w:val="18"/>
      <w:szCs w:val="26"/>
      <w:lang w:eastAsia="en-GB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2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DB0"/>
    <w:pPr>
      <w:spacing w:after="0" w:line="240" w:lineRule="auto"/>
      <w:ind w:left="720"/>
    </w:pPr>
    <w:rPr>
      <w:rFonts w:ascii="Calibri" w:hAnsi="Calibri" w:cs="Calibri"/>
      <w:kern w:val="0"/>
      <w:lang w:eastAsia="en-GB"/>
    </w:rPr>
  </w:style>
  <w:style w:type="character" w:styleId="Wzmianka">
    <w:name w:val="Mention"/>
    <w:basedOn w:val="Domylnaczcionkaakapitu"/>
    <w:uiPriority w:val="99"/>
    <w:unhideWhenUsed/>
    <w:rsid w:val="00374DB0"/>
    <w:rPr>
      <w:color w:val="2B579A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374D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DB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4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4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89E"/>
  </w:style>
  <w:style w:type="paragraph" w:styleId="Stopka">
    <w:name w:val="footer"/>
    <w:basedOn w:val="Normalny"/>
    <w:link w:val="StopkaZnak"/>
    <w:uiPriority w:val="99"/>
    <w:unhideWhenUsed/>
    <w:rsid w:val="00B4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89E"/>
  </w:style>
  <w:style w:type="character" w:styleId="Odwoaniedokomentarza">
    <w:name w:val="annotation reference"/>
    <w:basedOn w:val="Domylnaczcionkaakapitu"/>
    <w:uiPriority w:val="99"/>
    <w:semiHidden/>
    <w:unhideWhenUsed/>
    <w:rsid w:val="00FF7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2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2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49AA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423291"/>
    <w:rPr>
      <w:rFonts w:ascii="Calibri" w:eastAsia="Times New Roman" w:hAnsi="Calibri" w:cs="Times New Roman"/>
      <w:b/>
      <w:bCs/>
      <w:caps/>
      <w:color w:val="008B98"/>
      <w:kern w:val="0"/>
      <w:sz w:val="18"/>
      <w:szCs w:val="26"/>
      <w:lang w:eastAsia="en-GB"/>
      <w14:ligatures w14:val="none"/>
    </w:rPr>
  </w:style>
  <w:style w:type="paragraph" w:customStyle="1" w:styleId="ContactName">
    <w:name w:val="ContactName"/>
    <w:basedOn w:val="Nagwek3"/>
    <w:qFormat/>
    <w:rsid w:val="00423291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kern w:val="0"/>
      <w:sz w:val="18"/>
      <w:lang w:eastAsia="en-GB"/>
      <w14:ligatures w14:val="none"/>
    </w:rPr>
  </w:style>
  <w:style w:type="paragraph" w:customStyle="1" w:styleId="ContactDetail">
    <w:name w:val="ContactDetail"/>
    <w:basedOn w:val="Normalny"/>
    <w:rsid w:val="00423291"/>
    <w:pPr>
      <w:spacing w:after="0" w:line="216" w:lineRule="atLeast"/>
    </w:pPr>
    <w:rPr>
      <w:rFonts w:ascii="Calibri" w:eastAsia="Times New Roman" w:hAnsi="Calibri" w:cs="Times New Roman"/>
      <w:color w:val="000000"/>
      <w:kern w:val="0"/>
      <w:sz w:val="18"/>
      <w:szCs w:val="24"/>
      <w:lang w:eastAsia="en-GB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2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B6D1C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252C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14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5A410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5A4108"/>
  </w:style>
  <w:style w:type="character" w:customStyle="1" w:styleId="Hyperlink0">
    <w:name w:val="Hyperlink.0"/>
    <w:basedOn w:val="Brak"/>
    <w:rsid w:val="005A4108"/>
  </w:style>
  <w:style w:type="table" w:customStyle="1" w:styleId="PlainTable41">
    <w:name w:val="Plain Table 41"/>
    <w:basedOn w:val="Standardowy"/>
    <w:uiPriority w:val="44"/>
    <w:rsid w:val="005A410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gdalena.ossowska@linkleaders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ade Gothic Next">
      <a:majorFont>
        <a:latin typeface="Trade Gothic Next"/>
        <a:ea typeface=""/>
        <a:cs typeface=""/>
      </a:majorFont>
      <a:minorFont>
        <a:latin typeface="Trade Gothic N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1DEE5BD419542BD91A75385DF92AE" ma:contentTypeVersion="15" ma:contentTypeDescription="Create a new document." ma:contentTypeScope="" ma:versionID="876430771cc8ff5d04bf5894f3572559">
  <xsd:schema xmlns:xsd="http://www.w3.org/2001/XMLSchema" xmlns:xs="http://www.w3.org/2001/XMLSchema" xmlns:p="http://schemas.microsoft.com/office/2006/metadata/properties" xmlns:ns2="e1f8808a-7a3a-41fa-80a3-889cb59563bd" xmlns:ns3="f9727d1b-6553-49d5-934b-c4f1e0c0abbe" targetNamespace="http://schemas.microsoft.com/office/2006/metadata/properties" ma:root="true" ma:fieldsID="fc456a35ecff2c3bc75e0c84f303e4a4" ns2:_="" ns3:_="">
    <xsd:import namespace="e1f8808a-7a3a-41fa-80a3-889cb59563bd"/>
    <xsd:import namespace="f9727d1b-6553-49d5-934b-c4f1e0c0a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8808a-7a3a-41fa-80a3-889cb5956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7d1b-6553-49d5-934b-c4f1e0c0a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7d1ea0-d35d-4d6c-a5a4-df4ce8bdbfbb}" ma:internalName="TaxCatchAll" ma:showField="CatchAllData" ma:web="f9727d1b-6553-49d5-934b-c4f1e0c0a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8808a-7a3a-41fa-80a3-889cb59563bd">
      <Terms xmlns="http://schemas.microsoft.com/office/infopath/2007/PartnerControls"/>
    </lcf76f155ced4ddcb4097134ff3c332f>
    <TaxCatchAll xmlns="f9727d1b-6553-49d5-934b-c4f1e0c0ab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D9C51-50B5-465A-92DF-DE552A48B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63E84-3A94-4FB2-8D5D-5F0BDB511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8808a-7a3a-41fa-80a3-889cb59563bd"/>
    <ds:schemaRef ds:uri="f9727d1b-6553-49d5-934b-c4f1e0c0a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E74DE-1D20-43AC-BA7E-44ED0E35ECB6}">
  <ds:schemaRefs>
    <ds:schemaRef ds:uri="http://schemas.microsoft.com/office/2006/metadata/properties"/>
    <ds:schemaRef ds:uri="http://schemas.microsoft.com/office/infopath/2007/PartnerControls"/>
    <ds:schemaRef ds:uri="e1f8808a-7a3a-41fa-80a3-889cb59563bd"/>
    <ds:schemaRef ds:uri="f9727d1b-6553-49d5-934b-c4f1e0c0abbe"/>
  </ds:schemaRefs>
</ds:datastoreItem>
</file>

<file path=customXml/itemProps4.xml><?xml version="1.0" encoding="utf-8"?>
<ds:datastoreItem xmlns:ds="http://schemas.openxmlformats.org/officeDocument/2006/customXml" ds:itemID="{DF51E0F4-8E2E-4E83-AF2D-43EA00FCC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575</Words>
  <Characters>3817</Characters>
  <Application>Microsoft Office Word</Application>
  <DocSecurity>0</DocSecurity>
  <Lines>159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Hamlyn</dc:creator>
  <cp:keywords/>
  <dc:description/>
  <cp:lastModifiedBy>Link Leaders</cp:lastModifiedBy>
  <cp:revision>3</cp:revision>
  <dcterms:created xsi:type="dcterms:W3CDTF">2026-03-04T12:08:00Z</dcterms:created>
  <dcterms:modified xsi:type="dcterms:W3CDTF">2026-03-04T19:41:00Z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86f961-1d3e-4cfe-b1e9-19b9bcf12554_Enabled">
    <vt:lpwstr>true</vt:lpwstr>
  </property>
  <property fmtid="{D5CDD505-2E9C-101B-9397-08002B2CF9AE}" pid="3" name="MSIP_Label_b086f961-1d3e-4cfe-b1e9-19b9bcf12554_SetDate">
    <vt:lpwstr>2023-10-11T16:45:55Z</vt:lpwstr>
  </property>
  <property fmtid="{D5CDD505-2E9C-101B-9397-08002B2CF9AE}" pid="4" name="MSIP_Label_b086f961-1d3e-4cfe-b1e9-19b9bcf12554_Method">
    <vt:lpwstr>Standard</vt:lpwstr>
  </property>
  <property fmtid="{D5CDD505-2E9C-101B-9397-08002B2CF9AE}" pid="5" name="MSIP_Label_b086f961-1d3e-4cfe-b1e9-19b9bcf12554_Name">
    <vt:lpwstr>Private</vt:lpwstr>
  </property>
  <property fmtid="{D5CDD505-2E9C-101B-9397-08002B2CF9AE}" pid="6" name="MSIP_Label_b086f961-1d3e-4cfe-b1e9-19b9bcf12554_SiteId">
    <vt:lpwstr>6facebd9-e318-4ea6-a98b-e892ee55070f</vt:lpwstr>
  </property>
  <property fmtid="{D5CDD505-2E9C-101B-9397-08002B2CF9AE}" pid="7" name="MSIP_Label_b086f961-1d3e-4cfe-b1e9-19b9bcf12554_ActionId">
    <vt:lpwstr>6a415784-dea8-4208-8d57-b4e4b2533bc0</vt:lpwstr>
  </property>
  <property fmtid="{D5CDD505-2E9C-101B-9397-08002B2CF9AE}" pid="8" name="MSIP_Label_b086f961-1d3e-4cfe-b1e9-19b9bcf12554_ContentBits">
    <vt:lpwstr>0</vt:lpwstr>
  </property>
  <property fmtid="{D5CDD505-2E9C-101B-9397-08002B2CF9AE}" pid="9" name="GrammarlyDocumentId">
    <vt:lpwstr>31ba37b54f0d3e143930a0619014cf697fbff079f683d56c7add9a11d8f1cbec</vt:lpwstr>
  </property>
  <property fmtid="{D5CDD505-2E9C-101B-9397-08002B2CF9AE}" pid="10" name="ContentTypeId">
    <vt:lpwstr>0x0101007E41DEE5BD419542BD91A75385DF92AE</vt:lpwstr>
  </property>
  <property fmtid="{D5CDD505-2E9C-101B-9397-08002B2CF9AE}" pid="11" name="MediaServiceImageTags">
    <vt:lpwstr/>
  </property>
</Properties>
</file>