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4"/>
      </w:tblGrid>
      <w:tr w:rsidR="008C0B76" w:rsidRPr="008C0B76" w14:paraId="01BD6259" w14:textId="77777777" w:rsidTr="00F47D26">
        <w:trPr>
          <w:trHeight w:hRule="exact" w:val="300"/>
        </w:trPr>
        <w:tc>
          <w:tcPr>
            <w:tcW w:w="8504" w:type="dxa"/>
          </w:tcPr>
          <w:p w14:paraId="644337B7" w14:textId="77777777" w:rsidR="008C0B76" w:rsidRPr="008D1132" w:rsidRDefault="00C31EFC" w:rsidP="008D1132">
            <w:pPr>
              <w:pStyle w:val="Intitul"/>
            </w:pPr>
            <w:bookmarkStart w:id="0" w:name="_GoBack" w:colFirst="1" w:colLast="1"/>
            <w:r>
              <w:t>Informacja prasow</w:t>
            </w:r>
            <w:r w:rsidR="00CC7B62">
              <w:t>a</w:t>
            </w:r>
          </w:p>
        </w:tc>
      </w:tr>
      <w:tr w:rsidR="008C0B76" w:rsidRPr="008C0B76" w14:paraId="1E8FE78A" w14:textId="77777777" w:rsidTr="00F47D26">
        <w:trPr>
          <w:trHeight w:hRule="exact" w:val="300"/>
        </w:trPr>
        <w:tc>
          <w:tcPr>
            <w:tcW w:w="8504" w:type="dxa"/>
          </w:tcPr>
          <w:p w14:paraId="5972A77A" w14:textId="57429593" w:rsidR="008C0B76" w:rsidRPr="008D1132" w:rsidRDefault="00230BD9" w:rsidP="0086774A">
            <w:pPr>
              <w:pStyle w:val="Datedudocument"/>
            </w:pPr>
            <w:r>
              <w:t>3</w:t>
            </w:r>
            <w:r w:rsidR="0086774A">
              <w:t>.03.</w:t>
            </w:r>
            <w:r w:rsidR="008C0B76" w:rsidRPr="008D1132">
              <w:t>202</w:t>
            </w:r>
            <w:r w:rsidR="00D51171">
              <w:t>6</w:t>
            </w:r>
          </w:p>
        </w:tc>
      </w:tr>
      <w:tr w:rsidR="008C0B76" w:rsidRPr="008C0B76" w14:paraId="020EF8E1" w14:textId="77777777" w:rsidTr="00F47D26">
        <w:trPr>
          <w:trHeight w:hRule="exact" w:val="851"/>
        </w:trPr>
        <w:tc>
          <w:tcPr>
            <w:tcW w:w="8504" w:type="dxa"/>
          </w:tcPr>
          <w:p w14:paraId="11B2590D" w14:textId="77777777" w:rsidR="008C0B76" w:rsidRPr="008C0B76" w:rsidRDefault="008C0B76" w:rsidP="008C0B76">
            <w:pPr>
              <w:jc w:val="right"/>
              <w:rPr>
                <w:color w:val="auto"/>
                <w:sz w:val="28"/>
                <w:szCs w:val="28"/>
              </w:rPr>
            </w:pPr>
          </w:p>
        </w:tc>
      </w:tr>
    </w:tbl>
    <w:bookmarkEnd w:id="0"/>
    <w:p w14:paraId="136E8936" w14:textId="77777777" w:rsidR="00E1072F" w:rsidRPr="00B23431" w:rsidRDefault="00D51171" w:rsidP="0036517B">
      <w:pPr>
        <w:pStyle w:val="Textedesaisie"/>
        <w:jc w:val="center"/>
        <w:rPr>
          <w:rFonts w:asciiTheme="majorHAnsi" w:eastAsiaTheme="majorEastAsia" w:hAnsiTheme="majorHAnsi" w:cstheme="majorBidi"/>
          <w:b/>
          <w:bCs/>
          <w:color w:val="00AAFF" w:themeColor="accent2"/>
          <w:sz w:val="36"/>
          <w:szCs w:val="36"/>
          <w:lang w:val="pl-PL"/>
        </w:rPr>
      </w:pPr>
      <w:r w:rsidRPr="00B23431">
        <w:rPr>
          <w:rFonts w:asciiTheme="majorHAnsi" w:eastAsiaTheme="majorEastAsia" w:hAnsiTheme="majorHAnsi" w:cstheme="majorBidi"/>
          <w:b/>
          <w:bCs/>
          <w:color w:val="00AAFF" w:themeColor="accent2"/>
          <w:sz w:val="36"/>
          <w:szCs w:val="36"/>
          <w:lang w:val="pl-PL"/>
        </w:rPr>
        <w:t>Rok 2025 w ENGIE Polska pod znakiem zielonej energii i dekarbonizacji</w:t>
      </w:r>
    </w:p>
    <w:p w14:paraId="12929C50" w14:textId="77777777" w:rsidR="00D51171" w:rsidRPr="00B23431" w:rsidRDefault="00D51171" w:rsidP="0036517B">
      <w:pPr>
        <w:pStyle w:val="Textedesaisie"/>
        <w:jc w:val="center"/>
        <w:rPr>
          <w:b/>
          <w:bCs/>
          <w:lang w:val="pl-PL"/>
        </w:rPr>
      </w:pPr>
    </w:p>
    <w:p w14:paraId="1D835C51" w14:textId="77777777" w:rsidR="00D51171" w:rsidRPr="00D51171" w:rsidRDefault="00D51171" w:rsidP="00D51171">
      <w:pPr>
        <w:pStyle w:val="Textedesaisie"/>
        <w:rPr>
          <w:b/>
          <w:bCs/>
          <w:lang w:val="pl-PL"/>
        </w:rPr>
      </w:pPr>
      <w:r w:rsidRPr="00D51171">
        <w:rPr>
          <w:b/>
          <w:bCs/>
          <w:lang w:val="pl-PL"/>
        </w:rPr>
        <w:t>Grupa ENGIE w Polsce zamyka 2025 rok jako okres realizacji kluczowych działań transformacyjnych, obejmujących zmiany w portfelu wytwórczym oraz rozwój oferty dla klientów przemysłowych, komercyjnych i sektora publicznego. W minionych miesiącach szczególne znaczenie miało wygaszenie aktywów węglowych w ciepłownictwie, przy jednoczesnym wzmocnieniu kompetencji w odnawialnych źródłach energii, usługach technicznych oraz w długoterminowych modelach współpracy z odbiorcami energii.</w:t>
      </w:r>
    </w:p>
    <w:p w14:paraId="53794C31" w14:textId="77777777" w:rsidR="00D51171" w:rsidRPr="00D51171" w:rsidRDefault="00D51171" w:rsidP="00D51171">
      <w:pPr>
        <w:pStyle w:val="Textedesaisie"/>
        <w:rPr>
          <w:b/>
          <w:bCs/>
          <w:lang w:val="pl-PL"/>
        </w:rPr>
      </w:pPr>
    </w:p>
    <w:p w14:paraId="6F6CD98D" w14:textId="77777777" w:rsidR="00D51171" w:rsidRPr="00B23431" w:rsidRDefault="007756F6" w:rsidP="00D51171">
      <w:pPr>
        <w:pStyle w:val="Textedesaisie"/>
        <w:rPr>
          <w:lang w:val="pl-PL"/>
        </w:rPr>
      </w:pPr>
      <w:r w:rsidRPr="00B23431">
        <w:rPr>
          <w:lang w:val="pl-PL"/>
        </w:rPr>
        <w:t>Poprzedni rok potwierdził strategiczny kierunek rozwoju ENGIE w Polsce, który opierał się na dekarbonizacji, zwiększaniu efektywności energetycznej oraz integracji kompetencji spółek Grupy. Działania te były realizowane w sposób systemowy i długofalowy, zgodnie z globalną strategią ENGIE, przy jednoczesnym uwzględnieniu specyfiki oraz potrzeb polskiego rynku.</w:t>
      </w:r>
    </w:p>
    <w:p w14:paraId="3DE2E9B0" w14:textId="77777777" w:rsidR="007756F6" w:rsidRPr="00D51171" w:rsidRDefault="007756F6" w:rsidP="00D51171">
      <w:pPr>
        <w:pStyle w:val="Textedesaisie"/>
        <w:rPr>
          <w:bCs/>
          <w:lang w:val="pl-PL"/>
        </w:rPr>
      </w:pPr>
    </w:p>
    <w:p w14:paraId="452BDB54" w14:textId="77777777" w:rsidR="00D51171" w:rsidRPr="00D51171" w:rsidRDefault="00620D3F" w:rsidP="00D51171">
      <w:pPr>
        <w:pStyle w:val="Textedesaisie"/>
        <w:rPr>
          <w:bCs/>
          <w:i/>
          <w:lang w:val="pl-PL"/>
        </w:rPr>
      </w:pPr>
      <w:r>
        <w:rPr>
          <w:bCs/>
          <w:i/>
          <w:lang w:val="pl-PL"/>
        </w:rPr>
        <w:t xml:space="preserve">- </w:t>
      </w:r>
      <w:r w:rsidR="00D51171" w:rsidRPr="00D51171">
        <w:rPr>
          <w:bCs/>
          <w:i/>
          <w:lang w:val="pl-PL"/>
        </w:rPr>
        <w:t>ENGIE</w:t>
      </w:r>
      <w:r w:rsidR="00D51171">
        <w:rPr>
          <w:bCs/>
          <w:i/>
          <w:lang w:val="pl-PL"/>
        </w:rPr>
        <w:t xml:space="preserve"> w Polsce</w:t>
      </w:r>
      <w:r w:rsidR="00D51171" w:rsidRPr="00D51171">
        <w:rPr>
          <w:bCs/>
          <w:i/>
          <w:lang w:val="pl-PL"/>
        </w:rPr>
        <w:t xml:space="preserve"> prowadzi transformację energetyczną jako proces długoterminowy, oparty na stabilnych fundamentach operacyjnych i inwestycyjnych. Zakończenie wykorzystania węgla w ciepłowni</w:t>
      </w:r>
      <w:r w:rsidR="00D95378">
        <w:rPr>
          <w:bCs/>
          <w:i/>
          <w:lang w:val="pl-PL"/>
        </w:rPr>
        <w:t>ach</w:t>
      </w:r>
      <w:r w:rsidR="00D51171" w:rsidRPr="00D51171">
        <w:rPr>
          <w:bCs/>
          <w:i/>
          <w:lang w:val="pl-PL"/>
        </w:rPr>
        <w:t xml:space="preserve"> </w:t>
      </w:r>
      <w:r w:rsidR="00D95378">
        <w:rPr>
          <w:bCs/>
          <w:i/>
          <w:lang w:val="pl-PL"/>
        </w:rPr>
        <w:t>w Słupsku i Złotowie</w:t>
      </w:r>
      <w:r w:rsidR="00D51171" w:rsidRPr="00D51171">
        <w:rPr>
          <w:bCs/>
          <w:i/>
          <w:lang w:val="pl-PL"/>
        </w:rPr>
        <w:t xml:space="preserve"> jest jednym z kamieni milowych tej ścieżki</w:t>
      </w:r>
      <w:r w:rsidR="00D95378">
        <w:rPr>
          <w:bCs/>
          <w:i/>
          <w:lang w:val="pl-PL"/>
        </w:rPr>
        <w:t>. -</w:t>
      </w:r>
      <w:r w:rsidR="00D51171" w:rsidRPr="00D51171">
        <w:rPr>
          <w:bCs/>
          <w:lang w:val="pl-PL"/>
        </w:rPr>
        <w:t xml:space="preserve"> podkreśla </w:t>
      </w:r>
      <w:r w:rsidR="00D51171" w:rsidRPr="00230BD9">
        <w:rPr>
          <w:b/>
          <w:bCs/>
          <w:lang w:val="pl-PL"/>
        </w:rPr>
        <w:t xml:space="preserve">Piotr </w:t>
      </w:r>
      <w:proofErr w:type="spellStart"/>
      <w:r w:rsidR="00D51171" w:rsidRPr="00230BD9">
        <w:rPr>
          <w:b/>
          <w:bCs/>
          <w:lang w:val="pl-PL"/>
        </w:rPr>
        <w:t>Rogóż</w:t>
      </w:r>
      <w:proofErr w:type="spellEnd"/>
      <w:r w:rsidR="00D51171" w:rsidRPr="00230BD9">
        <w:rPr>
          <w:b/>
          <w:bCs/>
          <w:lang w:val="pl-PL"/>
        </w:rPr>
        <w:t>, Country Manager ENGIE Polska.</w:t>
      </w:r>
      <w:r w:rsidR="00D51171" w:rsidRPr="007756F6">
        <w:rPr>
          <w:b/>
          <w:bCs/>
          <w:lang w:val="pl-PL"/>
        </w:rPr>
        <w:t xml:space="preserve"> </w:t>
      </w:r>
      <w:r w:rsidR="00D95378">
        <w:rPr>
          <w:bCs/>
          <w:i/>
          <w:lang w:val="pl-PL"/>
        </w:rPr>
        <w:t>-</w:t>
      </w:r>
      <w:r w:rsidR="00D51171" w:rsidRPr="00D51171">
        <w:rPr>
          <w:bCs/>
          <w:i/>
          <w:lang w:val="pl-PL"/>
        </w:rPr>
        <w:t xml:space="preserve"> Równolegle rozwijamy portfel OZE, usługi techniczne</w:t>
      </w:r>
      <w:r w:rsidR="00D95378">
        <w:rPr>
          <w:bCs/>
          <w:i/>
          <w:lang w:val="pl-PL"/>
        </w:rPr>
        <w:t xml:space="preserve"> wspierające dekarbonizację</w:t>
      </w:r>
      <w:r w:rsidR="00D51171" w:rsidRPr="00D51171">
        <w:rPr>
          <w:bCs/>
          <w:i/>
          <w:lang w:val="pl-PL"/>
        </w:rPr>
        <w:t xml:space="preserve"> oraz rozwiązania wspierające bezpieczeństwo energetyczne i przewidywalność kosztów naszych partnerów.</w:t>
      </w:r>
    </w:p>
    <w:p w14:paraId="3E8A0FEA" w14:textId="77777777" w:rsidR="00D51171" w:rsidRPr="00D51171" w:rsidRDefault="00D51171" w:rsidP="00D51171">
      <w:pPr>
        <w:pStyle w:val="Textedesaisie"/>
        <w:rPr>
          <w:bCs/>
          <w:lang w:val="pl-PL"/>
        </w:rPr>
      </w:pPr>
    </w:p>
    <w:p w14:paraId="51915B26" w14:textId="578AFE43" w:rsidR="00D51171" w:rsidRDefault="00D95378" w:rsidP="00D51171">
      <w:pPr>
        <w:pStyle w:val="Textedesaisie"/>
        <w:rPr>
          <w:b/>
          <w:bCs/>
          <w:lang w:val="pl-PL"/>
        </w:rPr>
      </w:pPr>
      <w:r>
        <w:rPr>
          <w:b/>
          <w:bCs/>
          <w:lang w:val="pl-PL"/>
        </w:rPr>
        <w:t xml:space="preserve">Dekarbonizacja </w:t>
      </w:r>
      <w:r w:rsidR="007E2A13">
        <w:rPr>
          <w:b/>
          <w:bCs/>
          <w:lang w:val="pl-PL"/>
        </w:rPr>
        <w:t>dla Klientów</w:t>
      </w:r>
    </w:p>
    <w:p w14:paraId="60172D1F" w14:textId="77777777" w:rsidR="00C56BD0" w:rsidRDefault="00C56BD0" w:rsidP="00D51171">
      <w:pPr>
        <w:pStyle w:val="Textedesaisie"/>
        <w:rPr>
          <w:b/>
          <w:bCs/>
          <w:lang w:val="pl-PL"/>
        </w:rPr>
      </w:pPr>
    </w:p>
    <w:p w14:paraId="0CB6F08C" w14:textId="6C03847B" w:rsidR="00637141" w:rsidRDefault="00C56BD0" w:rsidP="00D86353">
      <w:pPr>
        <w:pStyle w:val="Textedesaisie"/>
        <w:rPr>
          <w:lang w:val="pl-PL"/>
        </w:rPr>
      </w:pPr>
      <w:r>
        <w:rPr>
          <w:lang w:val="pl-PL"/>
        </w:rPr>
        <w:t xml:space="preserve">W 2025 ENGIE Services </w:t>
      </w:r>
      <w:r w:rsidR="00AE1B1D">
        <w:rPr>
          <w:lang w:val="pl-PL"/>
        </w:rPr>
        <w:t>rozwijała</w:t>
      </w:r>
      <w:r w:rsidR="00637141">
        <w:rPr>
          <w:lang w:val="pl-PL"/>
        </w:rPr>
        <w:t xml:space="preserve"> zarówno działalność zintegrowanych usług </w:t>
      </w:r>
      <w:proofErr w:type="spellStart"/>
      <w:r w:rsidR="00637141">
        <w:rPr>
          <w:lang w:val="pl-PL"/>
        </w:rPr>
        <w:t>Facility</w:t>
      </w:r>
      <w:proofErr w:type="spellEnd"/>
      <w:r w:rsidR="00637141">
        <w:rPr>
          <w:lang w:val="pl-PL"/>
        </w:rPr>
        <w:t xml:space="preserve"> Management jak również </w:t>
      </w:r>
      <w:r w:rsidRPr="00B23431">
        <w:rPr>
          <w:lang w:val="pl-PL"/>
        </w:rPr>
        <w:t>On</w:t>
      </w:r>
      <w:r w:rsidRPr="00B23431">
        <w:rPr>
          <w:lang w:val="pl-PL"/>
        </w:rPr>
        <w:noBreakHyphen/>
        <w:t>Site Utilities (OSU)</w:t>
      </w:r>
      <w:r w:rsidR="00637141">
        <w:rPr>
          <w:lang w:val="pl-PL"/>
        </w:rPr>
        <w:t>.</w:t>
      </w:r>
    </w:p>
    <w:p w14:paraId="66356256" w14:textId="77777777" w:rsidR="00637141" w:rsidRDefault="00637141" w:rsidP="00D86353">
      <w:pPr>
        <w:pStyle w:val="Textedesaisie"/>
        <w:rPr>
          <w:lang w:val="pl-PL"/>
        </w:rPr>
      </w:pPr>
    </w:p>
    <w:p w14:paraId="573E6C6E" w14:textId="3F3FCBAC" w:rsidR="00C56BD0" w:rsidRPr="00B23431" w:rsidRDefault="00637141" w:rsidP="00C56BD0">
      <w:pPr>
        <w:pStyle w:val="Textedesaisie"/>
        <w:rPr>
          <w:lang w:val="pl-PL"/>
        </w:rPr>
      </w:pPr>
      <w:r>
        <w:rPr>
          <w:lang w:val="pl-PL"/>
        </w:rPr>
        <w:t>OSU to</w:t>
      </w:r>
      <w:r w:rsidR="00C56BD0" w:rsidRPr="00B23431">
        <w:rPr>
          <w:lang w:val="pl-PL"/>
        </w:rPr>
        <w:t xml:space="preserve"> model, w którym </w:t>
      </w:r>
      <w:r w:rsidR="00AE1B1D">
        <w:rPr>
          <w:lang w:val="pl-PL"/>
        </w:rPr>
        <w:t xml:space="preserve">spółka </w:t>
      </w:r>
      <w:r w:rsidR="00C56BD0" w:rsidRPr="00B23431">
        <w:rPr>
          <w:lang w:val="pl-PL"/>
        </w:rPr>
        <w:t>projektuje, finansuje, buduje, eksploatuje i utrzymuje instalacje mediów technicznych bezpośrednio na terenie zakładu klienta, przejmując ryzyko techniczne i inwestycyjne oraz gwarantując parametry pracy instalacji.</w:t>
      </w:r>
      <w:r w:rsidR="00D16A87" w:rsidRPr="00D16A87">
        <w:rPr>
          <w:rFonts w:ascii="Segoe UI" w:eastAsia="Times New Roman" w:hAnsi="Segoe UI" w:cs="Segoe UI"/>
          <w:sz w:val="21"/>
          <w:szCs w:val="21"/>
          <w:lang w:val="pl-PL" w:eastAsia="pl-PL"/>
        </w:rPr>
        <w:t xml:space="preserve"> </w:t>
      </w:r>
      <w:r w:rsidR="00D16A87" w:rsidRPr="00B23431">
        <w:rPr>
          <w:lang w:val="pl-PL"/>
        </w:rPr>
        <w:t>ENGIE Services odpowiada za ciągłe i bezpieczne dostarczanie mediów niezbędnych do procesów produkcyjnych i technologicznych, takich jak:</w:t>
      </w:r>
      <w:r w:rsidR="00D86353">
        <w:rPr>
          <w:lang w:val="pl-PL"/>
        </w:rPr>
        <w:t xml:space="preserve"> </w:t>
      </w:r>
      <w:r w:rsidR="00D16A87" w:rsidRPr="00D16A87">
        <w:rPr>
          <w:lang w:val="pl-PL"/>
        </w:rPr>
        <w:t>para technologiczna,</w:t>
      </w:r>
      <w:r w:rsidR="00D86353">
        <w:rPr>
          <w:lang w:val="pl-PL"/>
        </w:rPr>
        <w:t xml:space="preserve"> </w:t>
      </w:r>
      <w:r w:rsidR="00D16A87" w:rsidRPr="00D16A87">
        <w:rPr>
          <w:lang w:val="pl-PL"/>
        </w:rPr>
        <w:t>chłód i ciepło,</w:t>
      </w:r>
      <w:r w:rsidR="00D86353">
        <w:rPr>
          <w:lang w:val="pl-PL"/>
        </w:rPr>
        <w:t xml:space="preserve"> </w:t>
      </w:r>
      <w:r w:rsidR="00D16A87" w:rsidRPr="00D16A87">
        <w:rPr>
          <w:lang w:val="pl-PL"/>
        </w:rPr>
        <w:t>sprężone powietrze,</w:t>
      </w:r>
      <w:r w:rsidR="00D86353">
        <w:rPr>
          <w:lang w:val="pl-PL"/>
        </w:rPr>
        <w:t xml:space="preserve"> </w:t>
      </w:r>
      <w:r w:rsidR="00D16A87" w:rsidRPr="00D16A87">
        <w:rPr>
          <w:lang w:val="pl-PL"/>
        </w:rPr>
        <w:t>energia elektryczna, przy zachowaniu określonych parametrów jakościowych i dostępności.</w:t>
      </w:r>
    </w:p>
    <w:p w14:paraId="2F8C3A52" w14:textId="77777777" w:rsidR="00715863" w:rsidRPr="00D51171" w:rsidRDefault="00715863" w:rsidP="00D51171">
      <w:pPr>
        <w:pStyle w:val="Textedesaisie"/>
        <w:rPr>
          <w:b/>
          <w:bCs/>
          <w:lang w:val="pl-PL"/>
        </w:rPr>
      </w:pPr>
    </w:p>
    <w:p w14:paraId="73408D30" w14:textId="5A2BB016" w:rsidR="007756F6" w:rsidRPr="007756F6" w:rsidRDefault="00160413" w:rsidP="007756F6">
      <w:pPr>
        <w:pStyle w:val="Textedesaisie"/>
        <w:rPr>
          <w:bCs/>
          <w:lang w:val="pl-PL"/>
        </w:rPr>
      </w:pPr>
      <w:r>
        <w:rPr>
          <w:bCs/>
          <w:lang w:val="pl-PL"/>
        </w:rPr>
        <w:t>Dużą</w:t>
      </w:r>
      <w:r w:rsidR="007756F6" w:rsidRPr="007756F6">
        <w:rPr>
          <w:bCs/>
          <w:lang w:val="pl-PL"/>
        </w:rPr>
        <w:t xml:space="preserve"> rolę w działalności ENGIE Services </w:t>
      </w:r>
      <w:r>
        <w:rPr>
          <w:bCs/>
          <w:lang w:val="pl-PL"/>
        </w:rPr>
        <w:t>odegrały zintegrowane usługi FM</w:t>
      </w:r>
      <w:r w:rsidR="007756F6" w:rsidRPr="007756F6">
        <w:rPr>
          <w:bCs/>
          <w:lang w:val="pl-PL"/>
        </w:rPr>
        <w:t xml:space="preserve">, skupione na zarządzaniu </w:t>
      </w:r>
      <w:r w:rsidR="008C0DC7">
        <w:rPr>
          <w:bCs/>
          <w:lang w:val="pl-PL"/>
        </w:rPr>
        <w:t xml:space="preserve">techniczną </w:t>
      </w:r>
      <w:r w:rsidR="007756F6" w:rsidRPr="007756F6">
        <w:rPr>
          <w:bCs/>
          <w:lang w:val="pl-PL"/>
        </w:rPr>
        <w:t>infrastrukturą budynkową oraz systemami HVAC. W minionym roku firma pozyskała nowych klientów w segmencie nieruchomości komercyjnych, zapewniając kompleksową obsługę prestiżowych obiektów biurowych i wielofunkcyjnych.</w:t>
      </w:r>
    </w:p>
    <w:p w14:paraId="0E75518B" w14:textId="77777777" w:rsidR="007756F6" w:rsidRPr="007756F6" w:rsidRDefault="007756F6" w:rsidP="007756F6">
      <w:pPr>
        <w:pStyle w:val="Textedesaisie"/>
        <w:rPr>
          <w:bCs/>
          <w:lang w:val="pl-PL"/>
        </w:rPr>
      </w:pPr>
    </w:p>
    <w:p w14:paraId="45C5F293" w14:textId="63F20CC9" w:rsidR="007756F6" w:rsidRDefault="007756F6" w:rsidP="007756F6">
      <w:pPr>
        <w:pStyle w:val="Textedesaisie"/>
        <w:rPr>
          <w:lang w:val="pl-PL"/>
        </w:rPr>
      </w:pPr>
      <w:r w:rsidRPr="00B23431">
        <w:rPr>
          <w:lang w:val="pl-PL"/>
        </w:rPr>
        <w:t xml:space="preserve">Wśród nich znalazły się m.in. </w:t>
      </w:r>
      <w:proofErr w:type="spellStart"/>
      <w:r w:rsidRPr="00B23431">
        <w:rPr>
          <w:lang w:val="pl-PL"/>
        </w:rPr>
        <w:t>Sky</w:t>
      </w:r>
      <w:proofErr w:type="spellEnd"/>
      <w:r w:rsidRPr="00B23431">
        <w:rPr>
          <w:lang w:val="pl-PL"/>
        </w:rPr>
        <w:t xml:space="preserve"> Tower we Wrocławiu oraz warszawski biurowiec The Bridge. Zakres usług obejmował utrzymanie instalacji technicznych, optymalizację pracy systemów HVAC oraz działania mające na celu poprawę efektywności energetycznej i redukcję kosztów eksploatacyjnych, odpowiadając tym samym na rosnące oczekiwania właścicieli i najemców w zakresie stabilności operacyjnej oraz standardów środowiskowych.</w:t>
      </w:r>
    </w:p>
    <w:p w14:paraId="57E16FC2" w14:textId="0A5A3A48" w:rsidR="00B23431" w:rsidRDefault="00B23431" w:rsidP="007756F6">
      <w:pPr>
        <w:pStyle w:val="Textedesaisie"/>
        <w:rPr>
          <w:lang w:val="pl-PL"/>
        </w:rPr>
      </w:pPr>
    </w:p>
    <w:p w14:paraId="449978B6" w14:textId="77777777" w:rsidR="00B23431" w:rsidRPr="00B23431" w:rsidRDefault="00B23431" w:rsidP="00B23431">
      <w:pPr>
        <w:pStyle w:val="Textedesaisie"/>
        <w:rPr>
          <w:lang w:val="pl-PL"/>
        </w:rPr>
      </w:pPr>
      <w:r w:rsidRPr="00B23431">
        <w:rPr>
          <w:lang w:val="pl-PL"/>
        </w:rPr>
        <w:lastRenderedPageBreak/>
        <w:t>W realizację celów transformacyjnych Grupy ENGIE aktywnie włączyła się również spółka ENGIE Elektromontaż, od lat obecna na rynku kompleksowych instalacji elektrycznych, automatyki, systemów bezpieczeństwa oraz infrastruktury IT dla przemysłu. W 2025 roku spółka nie tylko realizowała kontrakty w swoim podstawowym obszarze kompetencji, lecz także rozszerzała działalność o projekty z zakresu efektywności energetycznej, dekarbonizacji oraz odnawialnych źródeł energii.</w:t>
      </w:r>
    </w:p>
    <w:p w14:paraId="4EB8B8A1" w14:textId="77777777" w:rsidR="00B23431" w:rsidRPr="00B23431" w:rsidRDefault="00B23431" w:rsidP="00B23431">
      <w:pPr>
        <w:pStyle w:val="Textedesaisie"/>
        <w:rPr>
          <w:lang w:val="pl-PL"/>
        </w:rPr>
      </w:pPr>
    </w:p>
    <w:p w14:paraId="14C7EE3E" w14:textId="77777777" w:rsidR="00B23431" w:rsidRDefault="00B23431" w:rsidP="00B23431">
      <w:pPr>
        <w:pStyle w:val="Textedesaisie"/>
        <w:rPr>
          <w:lang w:val="pl-PL"/>
        </w:rPr>
      </w:pPr>
      <w:r w:rsidRPr="00B23431">
        <w:rPr>
          <w:lang w:val="pl-PL"/>
        </w:rPr>
        <w:t xml:space="preserve">Efektem tych działań były zakończone z sukcesem modernizacje infrastruktury technicznej, prowadzące do realnego ograniczenia zużycia energii, a także uruchomienie kilkudziesięciu instalacji fotowoltaicznych. Rozwijając kompetencje doradcze, projektowe i wykonawcze w obszarze </w:t>
      </w:r>
      <w:proofErr w:type="spellStart"/>
      <w:r w:rsidRPr="00B23431">
        <w:rPr>
          <w:lang w:val="pl-PL"/>
        </w:rPr>
        <w:t>fotowoltaiki</w:t>
      </w:r>
      <w:proofErr w:type="spellEnd"/>
      <w:r w:rsidRPr="00B23431">
        <w:rPr>
          <w:lang w:val="pl-PL"/>
        </w:rPr>
        <w:t xml:space="preserve"> oraz magazynów energii, ENGIE Elektromontaż wzmacnia swoją rolę jako partnera wspierającego klientów w transformacji energetycznej oraz optymalizacji kosztów energii w łańcuchach produkcji i dostaw.</w:t>
      </w:r>
    </w:p>
    <w:p w14:paraId="230EC0A3" w14:textId="77777777" w:rsidR="00B23431" w:rsidRDefault="00B23431" w:rsidP="00B23431">
      <w:pPr>
        <w:pStyle w:val="Textedesaisie"/>
        <w:rPr>
          <w:lang w:val="pl-PL"/>
        </w:rPr>
      </w:pPr>
    </w:p>
    <w:p w14:paraId="073A508A" w14:textId="77777777" w:rsidR="004E19F6" w:rsidRDefault="00D95378" w:rsidP="004E19F6">
      <w:pPr>
        <w:pStyle w:val="Textedesaisie"/>
        <w:rPr>
          <w:b/>
          <w:bCs/>
          <w:lang w:val="pl-PL"/>
        </w:rPr>
      </w:pPr>
      <w:r>
        <w:rPr>
          <w:b/>
          <w:bCs/>
          <w:lang w:val="pl-PL"/>
        </w:rPr>
        <w:t>Zarządzanie i</w:t>
      </w:r>
      <w:r w:rsidR="00D51171" w:rsidRPr="00D51171">
        <w:rPr>
          <w:b/>
          <w:bCs/>
          <w:lang w:val="pl-PL"/>
        </w:rPr>
        <w:t>nfrastruktur</w:t>
      </w:r>
      <w:r>
        <w:rPr>
          <w:b/>
          <w:bCs/>
          <w:lang w:val="pl-PL"/>
        </w:rPr>
        <w:t>ą krytyczną</w:t>
      </w:r>
      <w:r w:rsidR="00D51171" w:rsidRPr="00D51171">
        <w:rPr>
          <w:b/>
          <w:bCs/>
          <w:lang w:val="pl-PL"/>
        </w:rPr>
        <w:t xml:space="preserve"> i centra</w:t>
      </w:r>
      <w:r>
        <w:rPr>
          <w:b/>
          <w:bCs/>
          <w:lang w:val="pl-PL"/>
        </w:rPr>
        <w:t>mi</w:t>
      </w:r>
      <w:r w:rsidR="00D51171" w:rsidRPr="00D51171">
        <w:rPr>
          <w:b/>
          <w:bCs/>
          <w:lang w:val="pl-PL"/>
        </w:rPr>
        <w:t xml:space="preserve"> danych</w:t>
      </w:r>
    </w:p>
    <w:p w14:paraId="4D204691" w14:textId="77777777" w:rsidR="004E19F6" w:rsidRDefault="004E19F6" w:rsidP="004E19F6">
      <w:pPr>
        <w:pStyle w:val="Textedesaisie"/>
        <w:rPr>
          <w:b/>
          <w:bCs/>
          <w:lang w:val="pl-PL"/>
        </w:rPr>
      </w:pPr>
    </w:p>
    <w:p w14:paraId="23F79DF3" w14:textId="77777777" w:rsidR="00A13F2C" w:rsidRPr="00A13F2C" w:rsidRDefault="00A13F2C" w:rsidP="00A13F2C">
      <w:pPr>
        <w:pStyle w:val="Textedesaisie"/>
        <w:rPr>
          <w:bCs/>
          <w:lang w:val="pl-PL"/>
        </w:rPr>
      </w:pPr>
      <w:r w:rsidRPr="00A13F2C">
        <w:rPr>
          <w:bCs/>
          <w:lang w:val="pl-PL"/>
        </w:rPr>
        <w:t>W 2025 roku ENGIE Services Oddział SAR dokonał strategicznego wzmocnienia pozycji w segmencie infrastruktury krytycznej, zabezpieczając fundamenty przychodowe spółki na kolejne cztery lata. Kluczowym osiągnięciem było odnowienie najważniejszych kontraktów w obszarze zamówień publicznych, co nakłada na Oddział SAR odpowiedzialność za utrzymanie techniczne obiektów administracji centralnej Państwa. Zapewnienie ciągłości działania tych jednostek ma wymiar strategiczny, gdyż sprawność ich infrastruktury bezpośrednio determinuje bezpieczeństwo państwa. Stabilizacja portfela zamówień publicznych do 2029 roku stanowi dla spółki bezpieczną bazę do dalszego skalowania operacji w najbardziej wymagających sektorach technicznych.</w:t>
      </w:r>
    </w:p>
    <w:p w14:paraId="6D734B04" w14:textId="77777777" w:rsidR="00A13F2C" w:rsidRPr="00A13F2C" w:rsidRDefault="00A13F2C" w:rsidP="00A13F2C">
      <w:pPr>
        <w:pStyle w:val="Textedesaisie"/>
        <w:rPr>
          <w:bCs/>
          <w:lang w:val="pl-PL"/>
        </w:rPr>
      </w:pPr>
    </w:p>
    <w:p w14:paraId="4B5A8C48" w14:textId="2E95554F" w:rsidR="00A13F2C" w:rsidRDefault="00A13F2C" w:rsidP="00A13F2C">
      <w:pPr>
        <w:pStyle w:val="Textedesaisie"/>
        <w:rPr>
          <w:bCs/>
          <w:lang w:val="pl-PL"/>
        </w:rPr>
      </w:pPr>
      <w:r w:rsidRPr="00A13F2C">
        <w:rPr>
          <w:bCs/>
          <w:lang w:val="pl-PL"/>
        </w:rPr>
        <w:t>Równolegle spółka konsekwentnie rozwijała kompetencje w obszarze komercyjnych centrów danych, odpowiadając na rosnący popyt na profesjonalne utrzymanie infrastruktury serwerowej w Polsce. Dzięki uzyskaniu</w:t>
      </w:r>
      <w:r w:rsidR="00670DE9">
        <w:rPr>
          <w:bCs/>
          <w:lang w:val="pl-PL"/>
        </w:rPr>
        <w:t xml:space="preserve"> w 2025 roku</w:t>
      </w:r>
      <w:r w:rsidRPr="00A13F2C">
        <w:rPr>
          <w:bCs/>
          <w:lang w:val="pl-PL"/>
        </w:rPr>
        <w:t xml:space="preserve"> eksperckich uprawnień EXIN EPI, takich jak </w:t>
      </w:r>
      <w:proofErr w:type="spellStart"/>
      <w:r w:rsidRPr="00A13F2C">
        <w:rPr>
          <w:bCs/>
          <w:lang w:val="pl-PL"/>
        </w:rPr>
        <w:t>Certified</w:t>
      </w:r>
      <w:proofErr w:type="spellEnd"/>
      <w:r w:rsidRPr="00A13F2C">
        <w:rPr>
          <w:bCs/>
          <w:lang w:val="pl-PL"/>
        </w:rPr>
        <w:t xml:space="preserve"> Data Centre Professional (CDCP) oraz </w:t>
      </w:r>
      <w:proofErr w:type="spellStart"/>
      <w:r w:rsidRPr="00A13F2C">
        <w:rPr>
          <w:bCs/>
          <w:lang w:val="pl-PL"/>
        </w:rPr>
        <w:t>Certified</w:t>
      </w:r>
      <w:proofErr w:type="spellEnd"/>
      <w:r w:rsidRPr="00A13F2C">
        <w:rPr>
          <w:bCs/>
          <w:lang w:val="pl-PL"/>
        </w:rPr>
        <w:t xml:space="preserve"> Data Centre </w:t>
      </w:r>
      <w:proofErr w:type="spellStart"/>
      <w:r w:rsidRPr="00A13F2C">
        <w:rPr>
          <w:bCs/>
          <w:lang w:val="pl-PL"/>
        </w:rPr>
        <w:t>Facilities</w:t>
      </w:r>
      <w:proofErr w:type="spellEnd"/>
      <w:r w:rsidRPr="00A13F2C">
        <w:rPr>
          <w:bCs/>
          <w:lang w:val="pl-PL"/>
        </w:rPr>
        <w:t xml:space="preserve"> Operations Manager (CDFOM), zespół potwierdził najwyższe kwalifikacje w zakresie obsługi systemów zasilania i chłodzenia. Doświadczenie zdobyte przy współpracy z liderami rynku, takimi jak ATMAN czy Data4, oraz partnerstwo z firmą Eaton, pozwala spółce skutecznie konkurować o kolejne kontrakty serwisowe</w:t>
      </w:r>
      <w:r w:rsidR="00670DE9">
        <w:rPr>
          <w:bCs/>
          <w:lang w:val="pl-PL"/>
        </w:rPr>
        <w:t xml:space="preserve"> w 2026 roku</w:t>
      </w:r>
      <w:r w:rsidRPr="00A13F2C">
        <w:rPr>
          <w:bCs/>
          <w:lang w:val="pl-PL"/>
        </w:rPr>
        <w:t xml:space="preserve">. </w:t>
      </w:r>
    </w:p>
    <w:p w14:paraId="431484BE" w14:textId="77777777" w:rsidR="00A13F2C" w:rsidRDefault="00A13F2C" w:rsidP="00A13F2C">
      <w:pPr>
        <w:pStyle w:val="Textedesaisie"/>
        <w:rPr>
          <w:bCs/>
          <w:lang w:val="pl-PL"/>
        </w:rPr>
      </w:pPr>
    </w:p>
    <w:p w14:paraId="1C304A7F" w14:textId="7219AFE3" w:rsidR="00D51171" w:rsidRPr="00D95378" w:rsidRDefault="00D95378" w:rsidP="00CC3EC3">
      <w:pPr>
        <w:pStyle w:val="Textedesaisie"/>
        <w:rPr>
          <w:b/>
          <w:bCs/>
          <w:lang w:val="pl-PL"/>
        </w:rPr>
      </w:pPr>
      <w:r>
        <w:rPr>
          <w:b/>
          <w:bCs/>
          <w:lang w:val="pl-PL"/>
        </w:rPr>
        <w:t>Zielona energia dla przemysłu</w:t>
      </w:r>
    </w:p>
    <w:p w14:paraId="03A6B358" w14:textId="77777777" w:rsidR="00D51171" w:rsidRPr="00D51171" w:rsidRDefault="00D51171" w:rsidP="00D51171">
      <w:pPr>
        <w:pStyle w:val="Textedesaisie"/>
        <w:rPr>
          <w:bCs/>
          <w:lang w:val="pl-PL"/>
        </w:rPr>
      </w:pPr>
    </w:p>
    <w:p w14:paraId="2D3AFC34" w14:textId="37B5725A" w:rsidR="007756F6" w:rsidRPr="007756F6" w:rsidRDefault="007756F6" w:rsidP="007756F6">
      <w:pPr>
        <w:pStyle w:val="Textedesaisie"/>
        <w:rPr>
          <w:bCs/>
          <w:lang w:val="pl-PL"/>
        </w:rPr>
      </w:pPr>
      <w:r w:rsidRPr="007756F6">
        <w:rPr>
          <w:bCs/>
          <w:lang w:val="pl-PL"/>
        </w:rPr>
        <w:t xml:space="preserve">W obszarze OZE ENGIE Zielona Energia w 2025 roku rozwijała portfolio długoterminowych kontraktów PPA. Grupa podpisała m.in. umowy z KGHM i </w:t>
      </w:r>
      <w:proofErr w:type="spellStart"/>
      <w:r w:rsidRPr="007756F6">
        <w:rPr>
          <w:bCs/>
          <w:lang w:val="pl-PL"/>
        </w:rPr>
        <w:t>Prologis</w:t>
      </w:r>
      <w:proofErr w:type="spellEnd"/>
      <w:r w:rsidRPr="007756F6">
        <w:rPr>
          <w:bCs/>
          <w:lang w:val="pl-PL"/>
        </w:rPr>
        <w:t>, zapewniając odbiorcom przemysłowym i logistycznym dostawy zielonej energii na kolejne lata. Projekty te pokazały, że model PPA można stosować w różnych sektorach, niezależnie od skali zużycia energii czy profilu działalności.</w:t>
      </w:r>
    </w:p>
    <w:p w14:paraId="4AEA2A6F" w14:textId="77777777" w:rsidR="007756F6" w:rsidRPr="007756F6" w:rsidRDefault="007756F6" w:rsidP="007756F6">
      <w:pPr>
        <w:pStyle w:val="Textedesaisie"/>
        <w:rPr>
          <w:bCs/>
          <w:lang w:val="pl-PL"/>
        </w:rPr>
      </w:pPr>
    </w:p>
    <w:p w14:paraId="146AD279" w14:textId="77777777" w:rsidR="007756F6" w:rsidRPr="007756F6" w:rsidRDefault="007756F6" w:rsidP="007756F6">
      <w:pPr>
        <w:pStyle w:val="Textedesaisie"/>
        <w:rPr>
          <w:bCs/>
          <w:lang w:val="pl-PL"/>
        </w:rPr>
      </w:pPr>
      <w:r w:rsidRPr="007756F6">
        <w:rPr>
          <w:bCs/>
          <w:lang w:val="pl-PL"/>
        </w:rPr>
        <w:t>Dzięki tym umowom klienci mogli planować koszty energii z wyprzedzeniem, ograniczać ryzyko wahań rynkowych oraz realizować własne cele dekarbonizacyjne, bez konieczności samodzielnego zarządzania instalacjami wytwórczymi. W tym modelu ENGIE pełnił rolę integratora – łączył wytwarzanie energii odnawialnej z wiedzą w zakresie przygotowania kontraktów i zarządzania ryzykiem rynkowym, tworząc kompleksowe rozwiązanie dla odbiorców.</w:t>
      </w:r>
    </w:p>
    <w:p w14:paraId="61191FE1" w14:textId="77777777" w:rsidR="007756F6" w:rsidRPr="007756F6" w:rsidRDefault="007756F6" w:rsidP="007756F6">
      <w:pPr>
        <w:pStyle w:val="Textedesaisie"/>
        <w:rPr>
          <w:bCs/>
          <w:lang w:val="pl-PL"/>
        </w:rPr>
      </w:pPr>
    </w:p>
    <w:p w14:paraId="533AA95F" w14:textId="547FCDD3" w:rsidR="007756F6" w:rsidRPr="008C626B" w:rsidRDefault="0065540C" w:rsidP="007756F6">
      <w:pPr>
        <w:pStyle w:val="Textedesaisie"/>
        <w:rPr>
          <w:lang w:val="pl-PL"/>
        </w:rPr>
      </w:pPr>
      <w:r w:rsidRPr="008C626B">
        <w:rPr>
          <w:lang w:val="pl-PL"/>
        </w:rPr>
        <w:t>W minionym roku wzmocniono również struktury zarządcze ENGIE Zielona Energia. Mateusz Madejski objął stanowisko Członka Zarządu, odpowiadając za rozwój projektów OZE oraz budowę portfela inwestycyjnego przygotowanego na kolejne etapy rozwoju rynku odnawialnych źródeł energii w Polsce.</w:t>
      </w:r>
    </w:p>
    <w:p w14:paraId="46080AD1" w14:textId="77777777" w:rsidR="0065540C" w:rsidRPr="00D51171" w:rsidRDefault="0065540C" w:rsidP="007756F6">
      <w:pPr>
        <w:pStyle w:val="Textedesaisie"/>
        <w:rPr>
          <w:bCs/>
          <w:lang w:val="pl-PL"/>
        </w:rPr>
      </w:pPr>
    </w:p>
    <w:p w14:paraId="0C8071FD" w14:textId="77777777" w:rsidR="00D51171" w:rsidRPr="00D95378" w:rsidRDefault="00D95378" w:rsidP="00D51171">
      <w:pPr>
        <w:pStyle w:val="Textedesaisie"/>
        <w:rPr>
          <w:b/>
          <w:bCs/>
          <w:lang w:val="pl-PL"/>
        </w:rPr>
      </w:pPr>
      <w:r>
        <w:rPr>
          <w:b/>
          <w:bCs/>
          <w:lang w:val="pl-PL"/>
        </w:rPr>
        <w:t>Koniec ery węgla w ENGIE</w:t>
      </w:r>
    </w:p>
    <w:p w14:paraId="36A1AD89" w14:textId="77777777" w:rsidR="00D51171" w:rsidRPr="00D51171" w:rsidRDefault="00D51171" w:rsidP="00D51171">
      <w:pPr>
        <w:pStyle w:val="Textedesaisie"/>
        <w:rPr>
          <w:bCs/>
          <w:lang w:val="pl-PL"/>
        </w:rPr>
      </w:pPr>
    </w:p>
    <w:p w14:paraId="2589075D" w14:textId="31339962" w:rsidR="00B23431" w:rsidRPr="008C626B" w:rsidRDefault="0065540C" w:rsidP="00B23431">
      <w:pPr>
        <w:pStyle w:val="Textedesaisie"/>
        <w:rPr>
          <w:lang w:val="pl-PL"/>
        </w:rPr>
      </w:pPr>
      <w:r w:rsidRPr="008C626B">
        <w:rPr>
          <w:lang w:val="pl-PL"/>
        </w:rPr>
        <w:t>Dla systemów ciepłowniczych ENGIE w Słupsku i Złotowie był to moment domknięcia procesu transformacji energetycznej. Zgodnie z przyjętą strategią Grupy w obu lokalizacjach całkowicie wyeliminowano węgiel z produkcji ciepła, zastępując go nowoczesnymi, niskoemisyjnymi rozwiązaniami, zgodnymi z aktualnymi wymogami polityki klimatycznej oraz regulacjami w zakresie efektywności energetycznej. Spółki ENGIE znalazły się tym samym w gronie pierwszych podmiotów w Polsce, które osiągnęły pełną dekarbonizację ciepła systemowego.</w:t>
      </w:r>
    </w:p>
    <w:p w14:paraId="23900305" w14:textId="77777777" w:rsidR="0065540C" w:rsidRPr="00B23431" w:rsidRDefault="0065540C" w:rsidP="00B23431">
      <w:pPr>
        <w:pStyle w:val="Textedesaisie"/>
        <w:rPr>
          <w:bCs/>
          <w:lang w:val="pl-PL"/>
        </w:rPr>
      </w:pPr>
    </w:p>
    <w:p w14:paraId="14EC5287" w14:textId="77777777" w:rsidR="00B23431" w:rsidRPr="00B23431" w:rsidRDefault="00B23431" w:rsidP="00B23431">
      <w:pPr>
        <w:pStyle w:val="Textedesaisie"/>
        <w:rPr>
          <w:bCs/>
          <w:lang w:val="pl-PL"/>
        </w:rPr>
      </w:pPr>
      <w:r w:rsidRPr="00B23431">
        <w:rPr>
          <w:bCs/>
          <w:lang w:val="pl-PL"/>
        </w:rPr>
        <w:t xml:space="preserve">W Słupsku ostatni etap wycofywania paliwa węglowego zakończono w drugim kwartale 2025 roku. System ciepłowniczy opiera się obecnie na źródle </w:t>
      </w:r>
      <w:proofErr w:type="spellStart"/>
      <w:r w:rsidRPr="00B23431">
        <w:rPr>
          <w:bCs/>
          <w:lang w:val="pl-PL"/>
        </w:rPr>
        <w:t>biomasowym</w:t>
      </w:r>
      <w:proofErr w:type="spellEnd"/>
      <w:r w:rsidRPr="00B23431">
        <w:rPr>
          <w:bCs/>
          <w:lang w:val="pl-PL"/>
        </w:rPr>
        <w:t xml:space="preserve">, wysokosprawnej kogeneracji gazowej oraz uzupełniających jednostkach gazowych, olejowych i </w:t>
      </w:r>
      <w:proofErr w:type="spellStart"/>
      <w:r w:rsidRPr="00B23431">
        <w:rPr>
          <w:bCs/>
          <w:lang w:val="pl-PL"/>
        </w:rPr>
        <w:t>biopaliwowych</w:t>
      </w:r>
      <w:proofErr w:type="spellEnd"/>
      <w:r w:rsidRPr="00B23431">
        <w:rPr>
          <w:bCs/>
          <w:lang w:val="pl-PL"/>
        </w:rPr>
        <w:t>, zapewniających bezpieczeństwo i ciągłość dostaw.</w:t>
      </w:r>
    </w:p>
    <w:p w14:paraId="4926D36B" w14:textId="77777777" w:rsidR="00B23431" w:rsidRPr="00B23431" w:rsidRDefault="00B23431" w:rsidP="00B23431">
      <w:pPr>
        <w:pStyle w:val="Textedesaisie"/>
        <w:rPr>
          <w:bCs/>
          <w:lang w:val="pl-PL"/>
        </w:rPr>
      </w:pPr>
    </w:p>
    <w:p w14:paraId="7189898F" w14:textId="77777777" w:rsidR="00B23431" w:rsidRPr="00B23431" w:rsidRDefault="00B23431" w:rsidP="00B23431">
      <w:pPr>
        <w:pStyle w:val="Textedesaisie"/>
        <w:rPr>
          <w:bCs/>
          <w:lang w:val="pl-PL"/>
        </w:rPr>
      </w:pPr>
      <w:r w:rsidRPr="00B23431">
        <w:rPr>
          <w:bCs/>
          <w:lang w:val="pl-PL"/>
        </w:rPr>
        <w:t xml:space="preserve">Z kolei w Złotowie proces transformacji został sfinalizowany w listopadzie 2025 roku wraz z uruchomieniem jednostek </w:t>
      </w:r>
      <w:proofErr w:type="spellStart"/>
      <w:r w:rsidRPr="00B23431">
        <w:rPr>
          <w:bCs/>
          <w:lang w:val="pl-PL"/>
        </w:rPr>
        <w:t>biomasowych</w:t>
      </w:r>
      <w:proofErr w:type="spellEnd"/>
      <w:r w:rsidRPr="00B23431">
        <w:rPr>
          <w:bCs/>
          <w:lang w:val="pl-PL"/>
        </w:rPr>
        <w:t xml:space="preserve"> i gazowych, które pozwoliły na pełne odejście od węgla zgodnie z założonym harmonogramem.</w:t>
      </w:r>
    </w:p>
    <w:p w14:paraId="446F1D0C" w14:textId="77777777" w:rsidR="00B23431" w:rsidRPr="00B23431" w:rsidRDefault="00B23431" w:rsidP="00B23431">
      <w:pPr>
        <w:pStyle w:val="Textedesaisie"/>
        <w:rPr>
          <w:bCs/>
          <w:lang w:val="pl-PL"/>
        </w:rPr>
      </w:pPr>
    </w:p>
    <w:p w14:paraId="222473E5" w14:textId="3BEAB71F" w:rsidR="007756F6" w:rsidRDefault="00B23431" w:rsidP="00B23431">
      <w:pPr>
        <w:pStyle w:val="Textedesaisie"/>
        <w:rPr>
          <w:bCs/>
          <w:lang w:val="pl-PL"/>
        </w:rPr>
      </w:pPr>
      <w:r w:rsidRPr="00B23431">
        <w:rPr>
          <w:bCs/>
          <w:lang w:val="pl-PL"/>
        </w:rPr>
        <w:t>W obu systemach biomasa pełni obecnie rolę kluczowego paliwa podstawowego, natomiast jednostki gazowe zapewniają elastyczność operacyjną, stabilność pracy systemu oraz bezpieczeństwo dostaw w okresach szczytowego zapotrzebowania na ciepło.</w:t>
      </w:r>
    </w:p>
    <w:p w14:paraId="367FED10" w14:textId="77777777" w:rsidR="00B23431" w:rsidRDefault="00B23431" w:rsidP="00B23431">
      <w:pPr>
        <w:pStyle w:val="Textedesaisie"/>
        <w:rPr>
          <w:bCs/>
          <w:lang w:val="pl-PL"/>
        </w:rPr>
      </w:pPr>
    </w:p>
    <w:p w14:paraId="7A2FF29A" w14:textId="67781FB1" w:rsidR="00D51171" w:rsidRPr="00B23431" w:rsidRDefault="00D95378" w:rsidP="00D51171">
      <w:pPr>
        <w:pStyle w:val="Textedesaisie"/>
        <w:rPr>
          <w:b/>
          <w:bCs/>
          <w:lang w:val="pl-PL"/>
        </w:rPr>
      </w:pPr>
      <w:r w:rsidRPr="005973E8">
        <w:rPr>
          <w:b/>
          <w:bCs/>
          <w:lang w:val="pl-PL"/>
        </w:rPr>
        <w:t xml:space="preserve">Biometan i magazyny energii w </w:t>
      </w:r>
      <w:r w:rsidR="005973E8" w:rsidRPr="005973E8">
        <w:rPr>
          <w:b/>
          <w:bCs/>
          <w:lang w:val="pl-PL"/>
        </w:rPr>
        <w:t>kierunkach na 2026 rok</w:t>
      </w:r>
    </w:p>
    <w:p w14:paraId="7F30CE5B" w14:textId="77777777" w:rsidR="00B12E33" w:rsidRDefault="00B12E33" w:rsidP="007756F6">
      <w:pPr>
        <w:pStyle w:val="Textedesaisie"/>
        <w:rPr>
          <w:bCs/>
          <w:lang w:val="pl-PL"/>
        </w:rPr>
      </w:pPr>
    </w:p>
    <w:p w14:paraId="2CB54B73" w14:textId="09BE315F" w:rsidR="00B12E33" w:rsidRDefault="00B12E33" w:rsidP="007756F6">
      <w:pPr>
        <w:pStyle w:val="Textedesaisie"/>
        <w:rPr>
          <w:bCs/>
          <w:lang w:val="pl-PL"/>
        </w:rPr>
      </w:pPr>
      <w:r w:rsidRPr="00B12E33">
        <w:rPr>
          <w:bCs/>
          <w:lang w:val="pl-PL"/>
        </w:rPr>
        <w:t>W Polsce rok 2025 był czasem intensywnych zmian legislacyjnych dotyczących zielonych gazów. Dynamiczne prace nad nowymi regulacjami oraz dostosow</w:t>
      </w:r>
      <w:r>
        <w:rPr>
          <w:bCs/>
          <w:lang w:val="pl-PL"/>
        </w:rPr>
        <w:t>ywaniem</w:t>
      </w:r>
      <w:r w:rsidRPr="00B12E33">
        <w:rPr>
          <w:bCs/>
          <w:lang w:val="pl-PL"/>
        </w:rPr>
        <w:t xml:space="preserve"> krajowych mechanizmów wsparcia tworzyły sprzyjające warunki do rozwoju tego rynku. ENGIE aktywnie monitorowała kierunek zmian oraz uczestniczyła w procesach konsultacyjnych, przygotowując swoje projekty do funkcjonowania w rozwijającym się otoczeniu prawnym i wzmacniając kompetencje w obszarze biometanu.</w:t>
      </w:r>
    </w:p>
    <w:p w14:paraId="16B8650F" w14:textId="77777777" w:rsidR="00B12E33" w:rsidRDefault="00B12E33" w:rsidP="007756F6">
      <w:pPr>
        <w:pStyle w:val="Textedesaisie"/>
        <w:rPr>
          <w:bCs/>
          <w:lang w:val="pl-PL"/>
        </w:rPr>
      </w:pPr>
    </w:p>
    <w:p w14:paraId="1C7AEAAB" w14:textId="12D26690" w:rsidR="007756F6" w:rsidRDefault="007756F6" w:rsidP="007756F6">
      <w:pPr>
        <w:pStyle w:val="Textedesaisie"/>
        <w:rPr>
          <w:bCs/>
          <w:lang w:val="pl-PL"/>
        </w:rPr>
      </w:pPr>
      <w:r w:rsidRPr="007756F6">
        <w:rPr>
          <w:bCs/>
          <w:lang w:val="pl-PL"/>
        </w:rPr>
        <w:t>W 2026 roku ENGIE w Polsce będzie kontynuować strategię dekarbonizacyjną poprzez wdrażanie nowych projektów i wykorzystanie nowoczesnych technologii energetycznych. Szczególne znaczenie będzie miał sektor biometanu, który docelowo pozwoli na wytwarzanie stabilnych źródeł energii odnawialnej.</w:t>
      </w:r>
      <w:r w:rsidR="00B12E33">
        <w:rPr>
          <w:bCs/>
          <w:lang w:val="pl-PL"/>
        </w:rPr>
        <w:t xml:space="preserve"> </w:t>
      </w:r>
      <w:r w:rsidR="00B12E33" w:rsidRPr="00B12E33">
        <w:rPr>
          <w:bCs/>
          <w:lang w:val="pl-PL"/>
        </w:rPr>
        <w:t>Jako bezemisyjne paliwo procesowe może zastąpić gaz ziemny w segmentach wymagających wysokiej stabilności dostaw energii.</w:t>
      </w:r>
    </w:p>
    <w:p w14:paraId="52DF9C4A" w14:textId="77777777" w:rsidR="00B12E33" w:rsidRDefault="00B12E33" w:rsidP="007756F6">
      <w:pPr>
        <w:pStyle w:val="Textedesaisie"/>
        <w:rPr>
          <w:bCs/>
          <w:lang w:val="pl-PL"/>
        </w:rPr>
      </w:pPr>
    </w:p>
    <w:p w14:paraId="158B3D0F" w14:textId="05070A8D" w:rsidR="00B12E33" w:rsidRPr="007756F6" w:rsidRDefault="00B12E33" w:rsidP="007756F6">
      <w:pPr>
        <w:pStyle w:val="Textedesaisie"/>
        <w:rPr>
          <w:bCs/>
          <w:lang w:val="pl-PL"/>
        </w:rPr>
      </w:pPr>
      <w:r w:rsidRPr="00B12E33">
        <w:rPr>
          <w:bCs/>
          <w:lang w:val="pl-PL"/>
        </w:rPr>
        <w:t>Z perspektywy ESG rozwój projektów biometanowych stanowi dla ENGIE ważny element wzmacniania pozytywnego wpływu na środowisko i lokalne społeczności. Inwestycje przygotowywane w tym obszarze łącz</w:t>
      </w:r>
      <w:r>
        <w:rPr>
          <w:bCs/>
          <w:lang w:val="pl-PL"/>
        </w:rPr>
        <w:t>ą</w:t>
      </w:r>
      <w:r w:rsidRPr="00B12E33">
        <w:rPr>
          <w:bCs/>
          <w:lang w:val="pl-PL"/>
        </w:rPr>
        <w:t xml:space="preserve"> redukcję emisji z działaniami zgodnymi z gospodarką o obiegu zamkniętym, wspiera</w:t>
      </w:r>
      <w:r>
        <w:rPr>
          <w:bCs/>
          <w:lang w:val="pl-PL"/>
        </w:rPr>
        <w:t>ją</w:t>
      </w:r>
      <w:r w:rsidRPr="00B12E33">
        <w:rPr>
          <w:bCs/>
          <w:lang w:val="pl-PL"/>
        </w:rPr>
        <w:t xml:space="preserve"> lokalnych partnerów rolniczych oraz sprzyja</w:t>
      </w:r>
      <w:r>
        <w:rPr>
          <w:bCs/>
          <w:lang w:val="pl-PL"/>
        </w:rPr>
        <w:t>ją</w:t>
      </w:r>
      <w:r w:rsidRPr="00B12E33">
        <w:rPr>
          <w:bCs/>
          <w:lang w:val="pl-PL"/>
        </w:rPr>
        <w:t xml:space="preserve"> bardziej efektywnemu wykorzystaniu zasobów. Biometan, jako stabilne i niskoemisyjne źródło energii, wpis</w:t>
      </w:r>
      <w:r w:rsidR="00B531D7">
        <w:rPr>
          <w:bCs/>
          <w:lang w:val="pl-PL"/>
        </w:rPr>
        <w:t xml:space="preserve">uje </w:t>
      </w:r>
      <w:r w:rsidRPr="00B12E33">
        <w:rPr>
          <w:bCs/>
          <w:lang w:val="pl-PL"/>
        </w:rPr>
        <w:t>się bezpośrednio w długoterminowe cele klimatyczne ENGIE oraz oczekiwania klientów korporacyjnych realizujących własne strategie zrównoważonego rozwoju.</w:t>
      </w:r>
    </w:p>
    <w:p w14:paraId="32896B2D" w14:textId="77777777" w:rsidR="007756F6" w:rsidRPr="007756F6" w:rsidRDefault="007756F6" w:rsidP="007756F6">
      <w:pPr>
        <w:pStyle w:val="Textedesaisie"/>
        <w:rPr>
          <w:bCs/>
          <w:lang w:val="pl-PL"/>
        </w:rPr>
      </w:pPr>
    </w:p>
    <w:p w14:paraId="5CE17B02" w14:textId="2C4F564C" w:rsidR="00620D3F" w:rsidRDefault="007756F6" w:rsidP="007756F6">
      <w:pPr>
        <w:pStyle w:val="Textedesaisie"/>
        <w:rPr>
          <w:bCs/>
          <w:lang w:val="pl-PL"/>
        </w:rPr>
      </w:pPr>
      <w:r w:rsidRPr="007756F6">
        <w:rPr>
          <w:bCs/>
          <w:lang w:val="pl-PL"/>
        </w:rPr>
        <w:t>Ponadto planowany jest rozwój portfela OZE o rozwiązania z zakresu magazynowania energii, pozwalających na bilansowanie produkcji oraz zwiększenie niezależności energetycznej klientów. Spółka będzie dalej rozwijać kontrakty PPA, rozszerzając ich zastosowanie na kolejne sektory gospodarki, co zapewni odbiorcom przewidywalność kosztów w zmiennym otoczeniu rynkowym.</w:t>
      </w:r>
    </w:p>
    <w:p w14:paraId="7AAE70CE" w14:textId="77777777" w:rsidR="00230BD9" w:rsidRDefault="00230BD9" w:rsidP="007756F6">
      <w:pPr>
        <w:pStyle w:val="Textedesaisie"/>
        <w:rPr>
          <w:bCs/>
          <w:lang w:val="pl-PL"/>
        </w:rPr>
      </w:pPr>
    </w:p>
    <w:p w14:paraId="5138D783" w14:textId="77777777" w:rsidR="007756F6" w:rsidRPr="00B23431" w:rsidRDefault="007756F6" w:rsidP="007756F6">
      <w:pPr>
        <w:pStyle w:val="Textedesaisie"/>
        <w:rPr>
          <w:rStyle w:val="Bold"/>
          <w:lang w:val="pl-PL"/>
        </w:rPr>
      </w:pPr>
    </w:p>
    <w:p w14:paraId="0CB0A9FD" w14:textId="77777777" w:rsidR="00562B4F" w:rsidRPr="00CC7B62" w:rsidRDefault="00CC7B62" w:rsidP="00CC7B62">
      <w:pPr>
        <w:pStyle w:val="Textedesaisie"/>
        <w:rPr>
          <w:rStyle w:val="Bold"/>
          <w:rFonts w:cstheme="minorBidi"/>
          <w:b w:val="0"/>
          <w:color w:val="auto"/>
          <w:lang w:val="pl-PL" w:eastAsia="en-US"/>
        </w:rPr>
      </w:pPr>
      <w:r w:rsidRPr="00B23431">
        <w:rPr>
          <w:rStyle w:val="Bold"/>
          <w:lang w:val="pl-PL"/>
        </w:rPr>
        <w:lastRenderedPageBreak/>
        <w:t xml:space="preserve">O </w:t>
      </w:r>
      <w:r w:rsidR="00562B4F" w:rsidRPr="00B23431">
        <w:rPr>
          <w:rStyle w:val="Bold"/>
          <w:lang w:val="pl-PL"/>
        </w:rPr>
        <w:t>ENGIE</w:t>
      </w:r>
      <w:r w:rsidRPr="00B23431">
        <w:rPr>
          <w:rStyle w:val="Bold"/>
          <w:lang w:val="pl-PL"/>
        </w:rPr>
        <w:t xml:space="preserve"> Polska</w:t>
      </w:r>
    </w:p>
    <w:p w14:paraId="707609E0" w14:textId="77777777" w:rsidR="008C0B76" w:rsidRPr="00B23431" w:rsidRDefault="008C0B76" w:rsidP="00F92ECA">
      <w:pPr>
        <w:pStyle w:val="Texteapropos"/>
        <w:rPr>
          <w:lang w:val="pl-PL"/>
        </w:rPr>
      </w:pPr>
    </w:p>
    <w:p w14:paraId="0C9DE0D3" w14:textId="596164D5" w:rsidR="007756F6" w:rsidRDefault="00230BD9" w:rsidP="00CC7B62">
      <w:pPr>
        <w:pStyle w:val="Textedesaisie"/>
        <w:rPr>
          <w:color w:val="auto"/>
          <w:lang w:val="pl-PL"/>
        </w:rPr>
      </w:pPr>
      <w:r w:rsidRPr="00230BD9">
        <w:rPr>
          <w:color w:val="auto"/>
          <w:lang w:val="pl-PL"/>
        </w:rPr>
        <w:t xml:space="preserve">ENGIE jest kluczowym graczem w transformacji energetycznej, której celem jest przyspieszenie przejścia na gospodarkę neutralną pod względem emisji dwutlenku węgla. Zatrudniając ponad 90 000 pracowników w 30 krajach, Grupa obejmuje cały łańcuch wartości energii, od produkcji po infrastrukturę i sprzedaż. ENGIE łączy działania uzupełniające się: produkcję energii odnawialnej i ekologicznego gazu, aktywa elastyczności (zwłaszcza baterie), sieci </w:t>
      </w:r>
      <w:proofErr w:type="spellStart"/>
      <w:r w:rsidRPr="00230BD9">
        <w:rPr>
          <w:color w:val="auto"/>
          <w:lang w:val="pl-PL"/>
        </w:rPr>
        <w:t>przesyłu</w:t>
      </w:r>
      <w:proofErr w:type="spellEnd"/>
      <w:r w:rsidRPr="00230BD9">
        <w:rPr>
          <w:color w:val="auto"/>
          <w:lang w:val="pl-PL"/>
        </w:rPr>
        <w:t xml:space="preserve"> i dystrybucji gazu i energii elektrycznej, lokalną infrastrukturę energetyczną (sieci grzewcze i chłodnicze) oraz dostawy energii do osób prywatnych, władz lokalnych i przedsiębiorstw. Każdego roku ENGIE inwestuje średnio 12 mld euro, aby przyspieszyć transformację energetyczną i osiągnąć cel zerowej emisji dwutlenku węgla netto do 2045 r. Obroty w 2025 r.: 71,9 mld euro. Grupa jest notowana na giełdach w Paryżu i Brukseli (ENGI) i jest reprezentowana w głównych indeksach finansowych (CAC 40, </w:t>
      </w:r>
      <w:proofErr w:type="spellStart"/>
      <w:r w:rsidRPr="00230BD9">
        <w:rPr>
          <w:color w:val="auto"/>
          <w:lang w:val="pl-PL"/>
        </w:rPr>
        <w:t>Euronext</w:t>
      </w:r>
      <w:proofErr w:type="spellEnd"/>
      <w:r w:rsidRPr="00230BD9">
        <w:rPr>
          <w:color w:val="auto"/>
          <w:lang w:val="pl-PL"/>
        </w:rPr>
        <w:t xml:space="preserve"> 100, FTSE Euro 100, MSCI Europe) oraz indeksach niefinansowych (DJSI World, </w:t>
      </w:r>
      <w:proofErr w:type="spellStart"/>
      <w:r w:rsidRPr="00230BD9">
        <w:rPr>
          <w:color w:val="auto"/>
          <w:lang w:val="pl-PL"/>
        </w:rPr>
        <w:t>Euronext</w:t>
      </w:r>
      <w:proofErr w:type="spellEnd"/>
      <w:r w:rsidRPr="00230BD9">
        <w:rPr>
          <w:color w:val="auto"/>
          <w:lang w:val="pl-PL"/>
        </w:rPr>
        <w:t xml:space="preserve"> </w:t>
      </w:r>
      <w:proofErr w:type="spellStart"/>
      <w:r w:rsidRPr="00230BD9">
        <w:rPr>
          <w:color w:val="auto"/>
          <w:lang w:val="pl-PL"/>
        </w:rPr>
        <w:t>Vigeo</w:t>
      </w:r>
      <w:proofErr w:type="spellEnd"/>
      <w:r w:rsidRPr="00230BD9">
        <w:rPr>
          <w:color w:val="auto"/>
          <w:lang w:val="pl-PL"/>
        </w:rPr>
        <w:t xml:space="preserve"> </w:t>
      </w:r>
      <w:proofErr w:type="spellStart"/>
      <w:r w:rsidRPr="00230BD9">
        <w:rPr>
          <w:color w:val="auto"/>
          <w:lang w:val="pl-PL"/>
        </w:rPr>
        <w:t>Eiris</w:t>
      </w:r>
      <w:proofErr w:type="spellEnd"/>
      <w:r w:rsidRPr="00230BD9">
        <w:rPr>
          <w:color w:val="auto"/>
          <w:lang w:val="pl-PL"/>
        </w:rPr>
        <w:t xml:space="preserve"> - Europe 120 / France 20, MSCI EMU ESG </w:t>
      </w:r>
      <w:proofErr w:type="spellStart"/>
      <w:r w:rsidRPr="00230BD9">
        <w:rPr>
          <w:color w:val="auto"/>
          <w:lang w:val="pl-PL"/>
        </w:rPr>
        <w:t>screened</w:t>
      </w:r>
      <w:proofErr w:type="spellEnd"/>
      <w:r w:rsidRPr="00230BD9">
        <w:rPr>
          <w:color w:val="auto"/>
          <w:lang w:val="pl-PL"/>
        </w:rPr>
        <w:t xml:space="preserve">, MSCI EUROPE ESG Universal Select, </w:t>
      </w:r>
      <w:proofErr w:type="spellStart"/>
      <w:r w:rsidRPr="00230BD9">
        <w:rPr>
          <w:color w:val="auto"/>
          <w:lang w:val="pl-PL"/>
        </w:rPr>
        <w:t>Stoxx</w:t>
      </w:r>
      <w:proofErr w:type="spellEnd"/>
      <w:r w:rsidRPr="00230BD9">
        <w:rPr>
          <w:color w:val="auto"/>
          <w:lang w:val="pl-PL"/>
        </w:rPr>
        <w:t xml:space="preserve"> Europe 600 ESG-X).</w:t>
      </w:r>
    </w:p>
    <w:p w14:paraId="0866158D" w14:textId="77777777" w:rsidR="00230BD9" w:rsidRPr="001A1C14" w:rsidRDefault="00230BD9" w:rsidP="00CC7B62">
      <w:pPr>
        <w:pStyle w:val="Textedesaisie"/>
        <w:rPr>
          <w:rFonts w:ascii="Calibri" w:hAnsi="Calibri" w:cs="Calibri"/>
          <w:color w:val="auto"/>
          <w:lang w:val="pl-PL"/>
        </w:rPr>
      </w:pPr>
    </w:p>
    <w:tbl>
      <w:tblPr>
        <w:tblStyle w:val="Tabela-Siatka"/>
        <w:tblW w:w="25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2"/>
      </w:tblGrid>
      <w:tr w:rsidR="00CC7B62" w:rsidRPr="00486946" w14:paraId="4E8A53AF" w14:textId="77777777" w:rsidTr="002C7127">
        <w:tc>
          <w:tcPr>
            <w:tcW w:w="4252" w:type="dxa"/>
          </w:tcPr>
          <w:p w14:paraId="1FC6B3A1" w14:textId="77777777" w:rsidR="00CC7B62" w:rsidRPr="001A1C14" w:rsidRDefault="00CC7B62" w:rsidP="002C7127">
            <w:pPr>
              <w:pStyle w:val="Textecontact"/>
              <w:rPr>
                <w:rStyle w:val="Bold"/>
                <w:rFonts w:ascii="Calibri" w:hAnsi="Calibri" w:cs="Calibri"/>
                <w:lang w:val="pl-PL"/>
              </w:rPr>
            </w:pPr>
            <w:r w:rsidRPr="001A1C14">
              <w:rPr>
                <w:rStyle w:val="Bold"/>
                <w:rFonts w:ascii="Calibri" w:hAnsi="Calibri" w:cs="Calibri"/>
                <w:lang w:val="pl-PL"/>
              </w:rPr>
              <w:t>Kontakt dla mediów:</w:t>
            </w:r>
          </w:p>
          <w:p w14:paraId="24E5EB13" w14:textId="77777777" w:rsidR="00CC7B62" w:rsidRPr="00486946" w:rsidRDefault="00CC7B62" w:rsidP="002C7127">
            <w:pPr>
              <w:pStyle w:val="Textecontact"/>
              <w:rPr>
                <w:rFonts w:ascii="Calibri" w:hAnsi="Calibri" w:cs="Calibri"/>
                <w:lang w:val="pl-PL"/>
              </w:rPr>
            </w:pPr>
            <w:r w:rsidRPr="00486946">
              <w:rPr>
                <w:rFonts w:ascii="Calibri" w:hAnsi="Calibri" w:cs="Calibri"/>
                <w:bCs/>
                <w:lang w:val="pl-PL"/>
              </w:rPr>
              <w:t>Magdalena Jaromińska</w:t>
            </w:r>
          </w:p>
          <w:p w14:paraId="23780B99" w14:textId="77777777" w:rsidR="00CC7B62" w:rsidRPr="00486946" w:rsidRDefault="00CC7B62" w:rsidP="002C7127">
            <w:pPr>
              <w:pStyle w:val="Textecontact"/>
              <w:rPr>
                <w:rFonts w:ascii="Calibri" w:hAnsi="Calibri" w:cs="Calibri"/>
                <w:lang w:val="pl-PL"/>
              </w:rPr>
            </w:pPr>
            <w:r w:rsidRPr="00486946">
              <w:rPr>
                <w:rFonts w:ascii="Calibri" w:hAnsi="Calibri" w:cs="Calibri"/>
                <w:lang w:val="pl-PL"/>
              </w:rPr>
              <w:t xml:space="preserve">Chief Communications </w:t>
            </w:r>
            <w:proofErr w:type="spellStart"/>
            <w:r w:rsidRPr="00486946">
              <w:rPr>
                <w:rFonts w:ascii="Calibri" w:hAnsi="Calibri" w:cs="Calibri"/>
                <w:lang w:val="pl-PL"/>
              </w:rPr>
              <w:t>Officer</w:t>
            </w:r>
            <w:proofErr w:type="spellEnd"/>
            <w:r w:rsidRPr="00486946">
              <w:rPr>
                <w:rFonts w:ascii="Calibri" w:hAnsi="Calibri" w:cs="Calibri"/>
                <w:lang w:val="pl-PL"/>
              </w:rPr>
              <w:t>/Kierownik ds. komunikacji</w:t>
            </w:r>
          </w:p>
          <w:p w14:paraId="4F61C24D" w14:textId="77777777" w:rsidR="00CC7B62" w:rsidRPr="00486946" w:rsidRDefault="00CC7B62" w:rsidP="002C7127">
            <w:pPr>
              <w:pStyle w:val="Textecontact"/>
              <w:rPr>
                <w:rFonts w:ascii="Calibri" w:hAnsi="Calibri" w:cs="Calibri"/>
                <w:lang w:val="pl-PL"/>
              </w:rPr>
            </w:pPr>
            <w:r w:rsidRPr="00486946">
              <w:rPr>
                <w:rFonts w:ascii="Calibri" w:hAnsi="Calibri" w:cs="Calibri"/>
                <w:lang w:val="pl-PL"/>
              </w:rPr>
              <w:t>M: +48 604 299 672</w:t>
            </w:r>
            <w:r w:rsidRPr="00486946">
              <w:rPr>
                <w:rFonts w:ascii="Calibri" w:hAnsi="Calibri" w:cs="Calibri"/>
                <w:lang w:val="pl-PL"/>
              </w:rPr>
              <w:br/>
            </w:r>
            <w:hyperlink r:id="rId12" w:tgtFrame="_blank" w:history="1">
              <w:r w:rsidRPr="00486946">
                <w:rPr>
                  <w:rStyle w:val="Hipercze"/>
                  <w:rFonts w:ascii="Calibri" w:hAnsi="Calibri" w:cs="Calibri"/>
                  <w:lang w:val="pl-PL"/>
                </w:rPr>
                <w:t>magdalena.jarominska@engie.com</w:t>
              </w:r>
            </w:hyperlink>
          </w:p>
          <w:p w14:paraId="7467D604" w14:textId="77777777" w:rsidR="00CC7B62" w:rsidRPr="00486946" w:rsidRDefault="00CC7B62" w:rsidP="002C7127">
            <w:pPr>
              <w:pStyle w:val="Textecontact"/>
              <w:rPr>
                <w:rFonts w:ascii="Calibri" w:hAnsi="Calibri" w:cs="Calibri"/>
              </w:rPr>
            </w:pPr>
          </w:p>
        </w:tc>
      </w:tr>
    </w:tbl>
    <w:p w14:paraId="2BB940B5" w14:textId="77777777" w:rsidR="00F92ECA" w:rsidRDefault="00F92ECA" w:rsidP="00CC7B62">
      <w:pPr>
        <w:pStyle w:val="Textedesaisie"/>
        <w:rPr>
          <w:color w:val="auto"/>
        </w:rPr>
      </w:pPr>
    </w:p>
    <w:sectPr w:rsidR="00F92ECA" w:rsidSect="00BA6623">
      <w:headerReference w:type="default" r:id="rId13"/>
      <w:footerReference w:type="default" r:id="rId14"/>
      <w:headerReference w:type="first" r:id="rId15"/>
      <w:type w:val="continuous"/>
      <w:pgSz w:w="11906" w:h="16838" w:code="9"/>
      <w:pgMar w:top="851" w:right="1701" w:bottom="851" w:left="1701"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3B155" w14:textId="77777777" w:rsidR="00F719E6" w:rsidRDefault="00F719E6" w:rsidP="003865B7">
      <w:r>
        <w:separator/>
      </w:r>
    </w:p>
  </w:endnote>
  <w:endnote w:type="continuationSeparator" w:id="0">
    <w:p w14:paraId="3578EA00" w14:textId="77777777" w:rsidR="00F719E6" w:rsidRDefault="00F719E6" w:rsidP="00386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otham Black">
    <w:charset w:val="00"/>
    <w:family w:val="auto"/>
    <w:pitch w:val="variable"/>
    <w:sig w:usb0="A00000AF" w:usb1="50000048" w:usb2="00000000" w:usb3="00000000" w:csb0="0000011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200"/>
      <w:gridCol w:w="180"/>
      <w:gridCol w:w="540"/>
      <w:gridCol w:w="584"/>
    </w:tblGrid>
    <w:tr w:rsidR="001F05A0" w14:paraId="38AC4505" w14:textId="77777777" w:rsidTr="00B63ACD">
      <w:trPr>
        <w:trHeight w:hRule="exact" w:val="142"/>
      </w:trPr>
      <w:tc>
        <w:tcPr>
          <w:tcW w:w="7920" w:type="dxa"/>
          <w:gridSpan w:val="3"/>
          <w:tcBorders>
            <w:bottom w:val="single" w:sz="4" w:space="0" w:color="00817D" w:themeColor="accent3"/>
          </w:tcBorders>
          <w:vAlign w:val="bottom"/>
        </w:tcPr>
        <w:p w14:paraId="68A48970" w14:textId="77777777" w:rsidR="001F05A0" w:rsidRPr="00585399" w:rsidRDefault="001F05A0" w:rsidP="00585399">
          <w:pPr>
            <w:pStyle w:val="Stopka"/>
            <w:jc w:val="right"/>
            <w:rPr>
              <w:sz w:val="18"/>
              <w:szCs w:val="18"/>
            </w:rPr>
          </w:pPr>
        </w:p>
      </w:tc>
      <w:tc>
        <w:tcPr>
          <w:tcW w:w="584" w:type="dxa"/>
          <w:vMerge w:val="restart"/>
          <w:vAlign w:val="center"/>
        </w:tcPr>
        <w:p w14:paraId="0B3984E7" w14:textId="641E6AB9" w:rsidR="001F05A0" w:rsidRPr="00585399" w:rsidRDefault="001F05A0" w:rsidP="000A1580">
          <w:pPr>
            <w:pStyle w:val="Stopka"/>
            <w:jc w:val="right"/>
            <w:rPr>
              <w:sz w:val="18"/>
              <w:szCs w:val="18"/>
            </w:rPr>
          </w:pPr>
          <w:r>
            <w:rPr>
              <w:sz w:val="18"/>
              <w:szCs w:val="18"/>
            </w:rPr>
            <w:fldChar w:fldCharType="begin"/>
          </w:r>
          <w:r>
            <w:rPr>
              <w:sz w:val="18"/>
              <w:szCs w:val="18"/>
            </w:rPr>
            <w:instrText xml:space="preserve"> PAGE  \* Arabic  \* MERGEFORMAT </w:instrText>
          </w:r>
          <w:r>
            <w:rPr>
              <w:sz w:val="18"/>
              <w:szCs w:val="18"/>
            </w:rPr>
            <w:fldChar w:fldCharType="separate"/>
          </w:r>
          <w:r w:rsidR="0086774A">
            <w:rPr>
              <w:noProof/>
              <w:sz w:val="18"/>
              <w:szCs w:val="18"/>
            </w:rPr>
            <w:t>4</w:t>
          </w:r>
          <w:r>
            <w:rPr>
              <w:sz w:val="18"/>
              <w:szCs w:val="18"/>
            </w:rPr>
            <w:fldChar w:fldCharType="end"/>
          </w:r>
        </w:p>
      </w:tc>
    </w:tr>
    <w:tr w:rsidR="001F05A0" w14:paraId="6582ED8F" w14:textId="77777777" w:rsidTr="00B63ACD">
      <w:trPr>
        <w:trHeight w:hRule="exact" w:val="142"/>
      </w:trPr>
      <w:tc>
        <w:tcPr>
          <w:tcW w:w="7920" w:type="dxa"/>
          <w:gridSpan w:val="3"/>
          <w:tcBorders>
            <w:top w:val="single" w:sz="4" w:space="0" w:color="00817D" w:themeColor="accent3"/>
          </w:tcBorders>
          <w:vAlign w:val="bottom"/>
        </w:tcPr>
        <w:p w14:paraId="43E0A603" w14:textId="77777777" w:rsidR="001F05A0" w:rsidRPr="00585399" w:rsidRDefault="001F05A0" w:rsidP="00585399">
          <w:pPr>
            <w:pStyle w:val="Stopka"/>
            <w:jc w:val="right"/>
            <w:rPr>
              <w:sz w:val="18"/>
              <w:szCs w:val="18"/>
            </w:rPr>
          </w:pPr>
        </w:p>
      </w:tc>
      <w:tc>
        <w:tcPr>
          <w:tcW w:w="584" w:type="dxa"/>
          <w:vMerge/>
          <w:vAlign w:val="bottom"/>
        </w:tcPr>
        <w:p w14:paraId="1C4D88B9" w14:textId="77777777" w:rsidR="001F05A0" w:rsidRPr="00585399" w:rsidRDefault="001F05A0" w:rsidP="00585399">
          <w:pPr>
            <w:pStyle w:val="Stopka"/>
            <w:jc w:val="right"/>
            <w:rPr>
              <w:sz w:val="18"/>
              <w:szCs w:val="18"/>
            </w:rPr>
          </w:pPr>
        </w:p>
      </w:tc>
    </w:tr>
    <w:tr w:rsidR="001F05A0" w14:paraId="3C828DD9" w14:textId="77777777" w:rsidTr="0046543F">
      <w:tc>
        <w:tcPr>
          <w:tcW w:w="7200" w:type="dxa"/>
          <w:vAlign w:val="bottom"/>
        </w:tcPr>
        <w:p w14:paraId="6AE0644F" w14:textId="77777777" w:rsidR="001F05A0" w:rsidRPr="0046543F" w:rsidRDefault="001F05A0" w:rsidP="0046543F">
          <w:pPr>
            <w:pStyle w:val="Adressepieddepage"/>
            <w:rPr>
              <w:color w:val="84A0AF"/>
            </w:rPr>
          </w:pPr>
          <w:r w:rsidRPr="0046543F">
            <w:rPr>
              <w:color w:val="84A0AF"/>
            </w:rPr>
            <w:t xml:space="preserve">Tour T1 – 1 place Samuel de Champlain – Faubourg de l’Arche - 92930 Paris La Défense cedex – France </w:t>
          </w:r>
        </w:p>
        <w:p w14:paraId="3D7510FA" w14:textId="77777777" w:rsidR="001F05A0" w:rsidRPr="00585399" w:rsidRDefault="001F05A0" w:rsidP="0046543F">
          <w:pPr>
            <w:pStyle w:val="Adressepieddepage"/>
          </w:pPr>
          <w:r w:rsidRPr="0046543F">
            <w:rPr>
              <w:color w:val="84A0AF"/>
            </w:rPr>
            <w:t>ENGIE – SA AU CAPITAL DE 2 435 285 011 EUROS – RCS NANTERRE 542 107 651 - Tél. : +33 (0)1 44 22 00 00</w:t>
          </w:r>
        </w:p>
      </w:tc>
      <w:tc>
        <w:tcPr>
          <w:tcW w:w="180" w:type="dxa"/>
          <w:vMerge w:val="restart"/>
        </w:tcPr>
        <w:p w14:paraId="4F191E69" w14:textId="77777777" w:rsidR="001F05A0" w:rsidRDefault="001F05A0" w:rsidP="00585399">
          <w:pPr>
            <w:pStyle w:val="Stopka"/>
          </w:pPr>
        </w:p>
      </w:tc>
      <w:tc>
        <w:tcPr>
          <w:tcW w:w="1124" w:type="dxa"/>
          <w:gridSpan w:val="2"/>
          <w:vMerge w:val="restart"/>
          <w:vAlign w:val="bottom"/>
        </w:tcPr>
        <w:p w14:paraId="11B088F3" w14:textId="77777777" w:rsidR="001F05A0" w:rsidRPr="00B63ACD" w:rsidRDefault="001F05A0" w:rsidP="00B63ACD">
          <w:pPr>
            <w:pStyle w:val="Texteadresseinternet"/>
          </w:pPr>
          <w:r w:rsidRPr="00B63ACD">
            <w:t>engie.com</w:t>
          </w:r>
        </w:p>
      </w:tc>
    </w:tr>
    <w:tr w:rsidR="001F05A0" w14:paraId="0731E3FD" w14:textId="77777777" w:rsidTr="0046543F">
      <w:trPr>
        <w:trHeight w:hRule="exact" w:val="85"/>
      </w:trPr>
      <w:tc>
        <w:tcPr>
          <w:tcW w:w="7200" w:type="dxa"/>
          <w:vAlign w:val="bottom"/>
        </w:tcPr>
        <w:p w14:paraId="778880D1" w14:textId="77777777" w:rsidR="001F05A0" w:rsidRPr="009705F1" w:rsidRDefault="001F05A0" w:rsidP="00585399">
          <w:pPr>
            <w:pStyle w:val="Stopka"/>
            <w:spacing w:line="180" w:lineRule="atLeast"/>
            <w:rPr>
              <w:sz w:val="14"/>
              <w:szCs w:val="14"/>
            </w:rPr>
          </w:pPr>
        </w:p>
      </w:tc>
      <w:tc>
        <w:tcPr>
          <w:tcW w:w="180" w:type="dxa"/>
          <w:vMerge/>
        </w:tcPr>
        <w:p w14:paraId="4AC2BA9A" w14:textId="77777777" w:rsidR="001F05A0" w:rsidRDefault="001F05A0" w:rsidP="00585399">
          <w:pPr>
            <w:pStyle w:val="Stopka"/>
          </w:pPr>
        </w:p>
      </w:tc>
      <w:tc>
        <w:tcPr>
          <w:tcW w:w="1124" w:type="dxa"/>
          <w:gridSpan w:val="2"/>
          <w:vMerge/>
          <w:vAlign w:val="bottom"/>
        </w:tcPr>
        <w:p w14:paraId="2B7D7658" w14:textId="77777777" w:rsidR="001F05A0" w:rsidRPr="00585399" w:rsidRDefault="001F05A0" w:rsidP="00585399">
          <w:pPr>
            <w:pStyle w:val="Stopka"/>
            <w:jc w:val="right"/>
            <w:rPr>
              <w:sz w:val="18"/>
              <w:szCs w:val="18"/>
            </w:rPr>
          </w:pPr>
        </w:p>
      </w:tc>
    </w:tr>
  </w:tbl>
  <w:p w14:paraId="20042878" w14:textId="77777777" w:rsidR="001F05A0" w:rsidRPr="00585399" w:rsidRDefault="001F05A0" w:rsidP="0058539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19A6C" w14:textId="77777777" w:rsidR="00F719E6" w:rsidRDefault="00F719E6" w:rsidP="003865B7">
      <w:r>
        <w:separator/>
      </w:r>
    </w:p>
  </w:footnote>
  <w:footnote w:type="continuationSeparator" w:id="0">
    <w:p w14:paraId="4D8B4CB3" w14:textId="77777777" w:rsidR="00F719E6" w:rsidRDefault="00F719E6" w:rsidP="003865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B76FE" w14:textId="77777777" w:rsidR="001F05A0" w:rsidRDefault="001F05A0" w:rsidP="003C7C34">
    <w:pPr>
      <w:pStyle w:val="Nagwek"/>
    </w:pPr>
  </w:p>
  <w:p w14:paraId="1E60C3EB" w14:textId="77777777" w:rsidR="001F05A0" w:rsidRPr="00A47F4D" w:rsidRDefault="001F05A0" w:rsidP="00A47F4D">
    <w:pPr>
      <w:pStyle w:val="Nagwek"/>
    </w:pPr>
  </w:p>
  <w:p w14:paraId="0148D974" w14:textId="77777777" w:rsidR="001F05A0" w:rsidRPr="00A47F4D" w:rsidRDefault="001F05A0" w:rsidP="00A47F4D">
    <w:pPr>
      <w:pStyle w:val="Nagwek"/>
    </w:pPr>
  </w:p>
  <w:p w14:paraId="62CAEAC4" w14:textId="77777777" w:rsidR="001F05A0" w:rsidRPr="00A47F4D" w:rsidRDefault="001F05A0" w:rsidP="00A47F4D">
    <w:pPr>
      <w:pStyle w:val="Nagwek"/>
    </w:pPr>
    <w:r>
      <w:rPr>
        <w:noProof/>
        <w:lang w:val="pl-PL" w:eastAsia="pl-PL"/>
      </w:rPr>
      <w:drawing>
        <wp:anchor distT="0" distB="0" distL="114300" distR="114300" simplePos="0" relativeHeight="251658240" behindDoc="1" locked="0" layoutInCell="1" allowOverlap="1" wp14:anchorId="737E89A6" wp14:editId="58738F08">
          <wp:simplePos x="0" y="0"/>
          <wp:positionH relativeFrom="page">
            <wp:align>center</wp:align>
          </wp:positionH>
          <wp:positionV relativeFrom="page">
            <wp:posOffset>0</wp:posOffset>
          </wp:positionV>
          <wp:extent cx="1803600" cy="1440000"/>
          <wp:effectExtent l="0" t="0" r="6350" b="825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803600" cy="1440000"/>
                  </a:xfrm>
                  <a:prstGeom prst="rect">
                    <a:avLst/>
                  </a:prstGeom>
                </pic:spPr>
              </pic:pic>
            </a:graphicData>
          </a:graphic>
          <wp14:sizeRelH relativeFrom="margin">
            <wp14:pctWidth>0</wp14:pctWidth>
          </wp14:sizeRelH>
          <wp14:sizeRelV relativeFrom="margin">
            <wp14:pctHeight>0</wp14:pctHeight>
          </wp14:sizeRelV>
        </wp:anchor>
      </w:drawing>
    </w:r>
  </w:p>
  <w:p w14:paraId="1D9D40D1" w14:textId="77777777" w:rsidR="001F05A0" w:rsidRPr="00A47F4D" w:rsidRDefault="001F05A0" w:rsidP="00A47F4D">
    <w:pPr>
      <w:pStyle w:val="Nagwek"/>
    </w:pPr>
  </w:p>
  <w:p w14:paraId="34CC482D" w14:textId="77777777" w:rsidR="001F05A0" w:rsidRPr="00A47F4D" w:rsidRDefault="001F05A0" w:rsidP="00A47F4D">
    <w:pPr>
      <w:pStyle w:val="Nagwek"/>
    </w:pPr>
  </w:p>
  <w:p w14:paraId="1BF9AD4F" w14:textId="77777777" w:rsidR="001F05A0" w:rsidRPr="00A47F4D" w:rsidRDefault="001F05A0" w:rsidP="00A47F4D">
    <w:pPr>
      <w:pStyle w:val="Nagwek"/>
    </w:pPr>
  </w:p>
  <w:p w14:paraId="547A63B3" w14:textId="77777777" w:rsidR="001F05A0" w:rsidRPr="00A47F4D" w:rsidRDefault="001F05A0" w:rsidP="00FA024F">
    <w:pPr>
      <w:pStyle w:val="Nagwek"/>
      <w:spacing w:line="270"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9804E" w14:textId="77777777" w:rsidR="001F05A0" w:rsidRDefault="001F05A0">
    <w:pPr>
      <w:pStyle w:val="Nagwek"/>
    </w:pPr>
  </w:p>
  <w:p w14:paraId="0BABEFE1" w14:textId="77777777" w:rsidR="001F05A0" w:rsidRDefault="001F05A0">
    <w:pPr>
      <w:pStyle w:val="Nagwek"/>
    </w:pPr>
  </w:p>
  <w:p w14:paraId="5E1E3F69" w14:textId="77777777" w:rsidR="001F05A0" w:rsidRDefault="001F05A0">
    <w:pPr>
      <w:pStyle w:val="Nagwek"/>
    </w:pPr>
  </w:p>
  <w:p w14:paraId="49739395" w14:textId="77777777" w:rsidR="001F05A0" w:rsidRDefault="001F05A0">
    <w:pPr>
      <w:pStyle w:val="Nagwek"/>
    </w:pPr>
  </w:p>
  <w:p w14:paraId="71F19F4E" w14:textId="77777777" w:rsidR="001F05A0" w:rsidRDefault="001F05A0">
    <w:pPr>
      <w:pStyle w:val="Nagwek"/>
    </w:pPr>
  </w:p>
  <w:p w14:paraId="5D796DEB" w14:textId="77777777" w:rsidR="001F05A0" w:rsidRDefault="001F05A0">
    <w:pPr>
      <w:pStyle w:val="Nagwek"/>
    </w:pPr>
  </w:p>
  <w:p w14:paraId="167AB082" w14:textId="77777777" w:rsidR="001F05A0" w:rsidRDefault="001F05A0">
    <w:pPr>
      <w:pStyle w:val="Nagwek"/>
    </w:pPr>
  </w:p>
  <w:p w14:paraId="7BD2206C" w14:textId="77777777" w:rsidR="001F05A0" w:rsidRPr="00F7646B" w:rsidRDefault="001F05A0" w:rsidP="00DB38D1">
    <w:pPr>
      <w:pStyle w:val="Nagwek"/>
      <w:spacing w:line="27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1D4A9F"/>
    <w:multiLevelType w:val="hybridMultilevel"/>
    <w:tmpl w:val="F280B2FE"/>
    <w:lvl w:ilvl="0" w:tplc="237226DC">
      <w:start w:val="1"/>
      <w:numFmt w:val="bullet"/>
      <w:lvlText w:val="–"/>
      <w:lvlJc w:val="left"/>
      <w:pPr>
        <w:ind w:left="720" w:hanging="360"/>
      </w:pPr>
      <w:rPr>
        <w:rFonts w:ascii="Gotham Black" w:hAnsi="Gotham Black" w:hint="default"/>
        <w:caps w:val="0"/>
        <w:strike w:val="0"/>
        <w:dstrike w:val="0"/>
        <w:vanish w:val="0"/>
        <w:sz w:val="40"/>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866BC1"/>
    <w:multiLevelType w:val="multilevel"/>
    <w:tmpl w:val="1F94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8C366D"/>
    <w:multiLevelType w:val="hybridMultilevel"/>
    <w:tmpl w:val="A08C9E06"/>
    <w:lvl w:ilvl="0" w:tplc="9DC629C2">
      <w:start w:val="1"/>
      <w:numFmt w:val="bullet"/>
      <w:lvlText w:val="–"/>
      <w:lvlJc w:val="left"/>
      <w:pPr>
        <w:ind w:left="720" w:hanging="360"/>
      </w:pPr>
      <w:rPr>
        <w:rFonts w:asciiTheme="majorHAnsi" w:hAnsiTheme="majorHAnsi" w:hint="default"/>
        <w:caps w:val="0"/>
        <w:strike w:val="0"/>
        <w:dstrike w:val="0"/>
        <w:vanish w:val="0"/>
        <w:sz w:val="28"/>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5930786"/>
    <w:multiLevelType w:val="hybridMultilevel"/>
    <w:tmpl w:val="AC84E2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88B5EF3"/>
    <w:multiLevelType w:val="hybridMultilevel"/>
    <w:tmpl w:val="D4DA5AFE"/>
    <w:lvl w:ilvl="0" w:tplc="7B62D2AC">
      <w:start w:val="1"/>
      <w:numFmt w:val="bullet"/>
      <w:lvlText w:val="–"/>
      <w:lvlJc w:val="left"/>
      <w:pPr>
        <w:ind w:left="720" w:hanging="360"/>
      </w:pPr>
      <w:rPr>
        <w:rFonts w:ascii="Gotham Black" w:hAnsi="Gotham Black" w:hint="default"/>
        <w:sz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2B1460F"/>
    <w:multiLevelType w:val="hybridMultilevel"/>
    <w:tmpl w:val="D0F28BBC"/>
    <w:lvl w:ilvl="0" w:tplc="9FC28624">
      <w:start w:val="1"/>
      <w:numFmt w:val="bullet"/>
      <w:lvlText w:val="–"/>
      <w:lvlJc w:val="left"/>
      <w:pPr>
        <w:ind w:left="720" w:hanging="360"/>
      </w:pPr>
      <w:rPr>
        <w:rFonts w:ascii="Gotham Black" w:hAnsi="Gotham Black"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8A94287"/>
    <w:multiLevelType w:val="hybridMultilevel"/>
    <w:tmpl w:val="E8DCEFBA"/>
    <w:lvl w:ilvl="0" w:tplc="33CC7510">
      <w:start w:val="1"/>
      <w:numFmt w:val="bullet"/>
      <w:pStyle w:val="Textepuce"/>
      <w:lvlText w:val="–"/>
      <w:lvlJc w:val="left"/>
      <w:pPr>
        <w:ind w:left="700" w:hanging="360"/>
      </w:pPr>
      <w:rPr>
        <w:rFonts w:asciiTheme="majorHAnsi" w:hAnsiTheme="majorHAnsi" w:cs="Times New Roman" w:hint="default"/>
        <w:caps w:val="0"/>
        <w:strike w:val="0"/>
        <w:dstrike w:val="0"/>
        <w:vanish w:val="0"/>
        <w:color w:val="00AAFF" w:themeColor="accent2"/>
        <w:sz w:val="28"/>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B62"/>
    <w:rsid w:val="00004D5E"/>
    <w:rsid w:val="000126F7"/>
    <w:rsid w:val="00016461"/>
    <w:rsid w:val="00040852"/>
    <w:rsid w:val="0005751F"/>
    <w:rsid w:val="00081A29"/>
    <w:rsid w:val="000947E8"/>
    <w:rsid w:val="00096706"/>
    <w:rsid w:val="000A1580"/>
    <w:rsid w:val="000C2302"/>
    <w:rsid w:val="000C711B"/>
    <w:rsid w:val="000F02A0"/>
    <w:rsid w:val="00104B5D"/>
    <w:rsid w:val="001064AF"/>
    <w:rsid w:val="001213BB"/>
    <w:rsid w:val="001413D4"/>
    <w:rsid w:val="00160413"/>
    <w:rsid w:val="001960F0"/>
    <w:rsid w:val="001C158B"/>
    <w:rsid w:val="001D4705"/>
    <w:rsid w:val="001F05A0"/>
    <w:rsid w:val="001F5ED4"/>
    <w:rsid w:val="002019AB"/>
    <w:rsid w:val="00204499"/>
    <w:rsid w:val="00227BFD"/>
    <w:rsid w:val="00230BD9"/>
    <w:rsid w:val="00262CB9"/>
    <w:rsid w:val="00273354"/>
    <w:rsid w:val="002C7127"/>
    <w:rsid w:val="002D2268"/>
    <w:rsid w:val="003076F7"/>
    <w:rsid w:val="00317240"/>
    <w:rsid w:val="003254E3"/>
    <w:rsid w:val="00353E47"/>
    <w:rsid w:val="00356121"/>
    <w:rsid w:val="003633EA"/>
    <w:rsid w:val="0036517B"/>
    <w:rsid w:val="00386092"/>
    <w:rsid w:val="003865B7"/>
    <w:rsid w:val="00396690"/>
    <w:rsid w:val="003B0A7C"/>
    <w:rsid w:val="003C1479"/>
    <w:rsid w:val="003C7C34"/>
    <w:rsid w:val="003E1D19"/>
    <w:rsid w:val="004017C5"/>
    <w:rsid w:val="00431335"/>
    <w:rsid w:val="0046543F"/>
    <w:rsid w:val="00471F4E"/>
    <w:rsid w:val="004E19F6"/>
    <w:rsid w:val="004E5EE3"/>
    <w:rsid w:val="004F135C"/>
    <w:rsid w:val="005232F9"/>
    <w:rsid w:val="00550AF2"/>
    <w:rsid w:val="00562B4F"/>
    <w:rsid w:val="00585399"/>
    <w:rsid w:val="005973E8"/>
    <w:rsid w:val="005E5CAC"/>
    <w:rsid w:val="005E70A8"/>
    <w:rsid w:val="006076C3"/>
    <w:rsid w:val="006108B6"/>
    <w:rsid w:val="00620D3F"/>
    <w:rsid w:val="006330E9"/>
    <w:rsid w:val="00633F2B"/>
    <w:rsid w:val="00637141"/>
    <w:rsid w:val="0065540C"/>
    <w:rsid w:val="00670DE9"/>
    <w:rsid w:val="006C6133"/>
    <w:rsid w:val="006D7A71"/>
    <w:rsid w:val="00702726"/>
    <w:rsid w:val="00706E83"/>
    <w:rsid w:val="00714945"/>
    <w:rsid w:val="00715863"/>
    <w:rsid w:val="007310D3"/>
    <w:rsid w:val="00747F71"/>
    <w:rsid w:val="00753C0D"/>
    <w:rsid w:val="00757703"/>
    <w:rsid w:val="007756F6"/>
    <w:rsid w:val="0078427B"/>
    <w:rsid w:val="007A195E"/>
    <w:rsid w:val="007A4D69"/>
    <w:rsid w:val="007C0710"/>
    <w:rsid w:val="007C4C11"/>
    <w:rsid w:val="007E2A13"/>
    <w:rsid w:val="00806952"/>
    <w:rsid w:val="00814DE8"/>
    <w:rsid w:val="00820308"/>
    <w:rsid w:val="00823496"/>
    <w:rsid w:val="00840603"/>
    <w:rsid w:val="0084231F"/>
    <w:rsid w:val="00851530"/>
    <w:rsid w:val="00851EAB"/>
    <w:rsid w:val="00863423"/>
    <w:rsid w:val="0086774A"/>
    <w:rsid w:val="0089290D"/>
    <w:rsid w:val="008C0B76"/>
    <w:rsid w:val="008C0DC7"/>
    <w:rsid w:val="008C626B"/>
    <w:rsid w:val="008D1132"/>
    <w:rsid w:val="008D2D5E"/>
    <w:rsid w:val="00904612"/>
    <w:rsid w:val="00912DAB"/>
    <w:rsid w:val="00926547"/>
    <w:rsid w:val="009477EF"/>
    <w:rsid w:val="00951B2F"/>
    <w:rsid w:val="009705F1"/>
    <w:rsid w:val="00971591"/>
    <w:rsid w:val="009764FA"/>
    <w:rsid w:val="00A13F2C"/>
    <w:rsid w:val="00A17125"/>
    <w:rsid w:val="00A47F4D"/>
    <w:rsid w:val="00A5750F"/>
    <w:rsid w:val="00A63F44"/>
    <w:rsid w:val="00A70313"/>
    <w:rsid w:val="00A80E77"/>
    <w:rsid w:val="00AB5B09"/>
    <w:rsid w:val="00AD1A07"/>
    <w:rsid w:val="00AE1B1D"/>
    <w:rsid w:val="00B12E33"/>
    <w:rsid w:val="00B23431"/>
    <w:rsid w:val="00B531D7"/>
    <w:rsid w:val="00B63ACD"/>
    <w:rsid w:val="00B63B08"/>
    <w:rsid w:val="00B75B31"/>
    <w:rsid w:val="00B77598"/>
    <w:rsid w:val="00B878D1"/>
    <w:rsid w:val="00BA4C79"/>
    <w:rsid w:val="00BA6623"/>
    <w:rsid w:val="00BB3742"/>
    <w:rsid w:val="00C23EDE"/>
    <w:rsid w:val="00C31EFC"/>
    <w:rsid w:val="00C4670B"/>
    <w:rsid w:val="00C56BD0"/>
    <w:rsid w:val="00C5716E"/>
    <w:rsid w:val="00C86EEF"/>
    <w:rsid w:val="00CA3A61"/>
    <w:rsid w:val="00CA58C7"/>
    <w:rsid w:val="00CB59FD"/>
    <w:rsid w:val="00CC3EC3"/>
    <w:rsid w:val="00CC7B62"/>
    <w:rsid w:val="00D16A87"/>
    <w:rsid w:val="00D4572F"/>
    <w:rsid w:val="00D51171"/>
    <w:rsid w:val="00D52FF6"/>
    <w:rsid w:val="00D77BC7"/>
    <w:rsid w:val="00D828E7"/>
    <w:rsid w:val="00D86353"/>
    <w:rsid w:val="00D94FA8"/>
    <w:rsid w:val="00D95378"/>
    <w:rsid w:val="00DB38D1"/>
    <w:rsid w:val="00DC29DB"/>
    <w:rsid w:val="00DD2712"/>
    <w:rsid w:val="00DE1589"/>
    <w:rsid w:val="00DF4C32"/>
    <w:rsid w:val="00E1072F"/>
    <w:rsid w:val="00E34CFC"/>
    <w:rsid w:val="00E62D30"/>
    <w:rsid w:val="00E97EF5"/>
    <w:rsid w:val="00EB73C0"/>
    <w:rsid w:val="00EC4413"/>
    <w:rsid w:val="00EC643C"/>
    <w:rsid w:val="00F45E8D"/>
    <w:rsid w:val="00F47D26"/>
    <w:rsid w:val="00F51D4C"/>
    <w:rsid w:val="00F627A3"/>
    <w:rsid w:val="00F719E6"/>
    <w:rsid w:val="00F7646B"/>
    <w:rsid w:val="00F80A72"/>
    <w:rsid w:val="00F92ECA"/>
    <w:rsid w:val="00FA024F"/>
    <w:rsid w:val="00FA5622"/>
    <w:rsid w:val="00FD2F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EDB0A"/>
  <w15:docId w15:val="{B038F019-60A3-4683-A1DD-D67CC6F0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92ECA"/>
    <w:pPr>
      <w:spacing w:after="0" w:line="240" w:lineRule="atLeast"/>
    </w:pPr>
    <w:rPr>
      <w:color w:val="67AE6E" w:themeColor="background2"/>
      <w:sz w:val="20"/>
    </w:rPr>
  </w:style>
  <w:style w:type="paragraph" w:styleId="Nagwek1">
    <w:name w:val="heading 1"/>
    <w:basedOn w:val="Normalny"/>
    <w:next w:val="Normalny"/>
    <w:link w:val="Nagwek1Znak"/>
    <w:uiPriority w:val="9"/>
    <w:qFormat/>
    <w:rsid w:val="008D1132"/>
    <w:pPr>
      <w:keepNext/>
      <w:keepLines/>
      <w:spacing w:line="432" w:lineRule="exact"/>
      <w:jc w:val="center"/>
      <w:outlineLvl w:val="0"/>
    </w:pPr>
    <w:rPr>
      <w:rFonts w:asciiTheme="majorHAnsi" w:eastAsiaTheme="majorEastAsia" w:hAnsiTheme="majorHAnsi" w:cstheme="majorBidi"/>
      <w:bCs/>
      <w:color w:val="00AAFF" w:themeColor="accent2"/>
      <w:sz w:val="36"/>
      <w:szCs w:val="36"/>
      <w:lang w:val="en-US"/>
    </w:rPr>
  </w:style>
  <w:style w:type="paragraph" w:styleId="Nagwek3">
    <w:name w:val="heading 3"/>
    <w:basedOn w:val="Normalny"/>
    <w:next w:val="Normalny"/>
    <w:link w:val="Nagwek3Znak"/>
    <w:uiPriority w:val="9"/>
    <w:semiHidden/>
    <w:qFormat/>
    <w:rsid w:val="0089290D"/>
    <w:pPr>
      <w:keepNext/>
      <w:keepLines/>
      <w:spacing w:before="40"/>
      <w:outlineLvl w:val="2"/>
    </w:pPr>
    <w:rPr>
      <w:rFonts w:asciiTheme="majorHAnsi" w:eastAsiaTheme="majorEastAsia" w:hAnsiTheme="majorHAnsi" w:cstheme="majorBidi"/>
      <w:color w:val="0B122F"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link w:val="NagwekZnak"/>
    <w:uiPriority w:val="99"/>
    <w:unhideWhenUsed/>
    <w:rsid w:val="002019AB"/>
    <w:pPr>
      <w:spacing w:after="0" w:line="240" w:lineRule="exact"/>
    </w:pPr>
    <w:rPr>
      <w:sz w:val="20"/>
    </w:rPr>
  </w:style>
  <w:style w:type="character" w:customStyle="1" w:styleId="NagwekZnak">
    <w:name w:val="Nagłówek Znak"/>
    <w:basedOn w:val="Domylnaczcionkaakapitu"/>
    <w:link w:val="Nagwek"/>
    <w:uiPriority w:val="99"/>
    <w:rsid w:val="002019AB"/>
    <w:rPr>
      <w:sz w:val="20"/>
    </w:rPr>
  </w:style>
  <w:style w:type="paragraph" w:styleId="Stopka">
    <w:name w:val="footer"/>
    <w:link w:val="StopkaZnak"/>
    <w:uiPriority w:val="99"/>
    <w:unhideWhenUsed/>
    <w:rsid w:val="003C7C34"/>
    <w:pPr>
      <w:spacing w:after="0" w:line="240" w:lineRule="exact"/>
    </w:pPr>
    <w:rPr>
      <w:sz w:val="20"/>
    </w:rPr>
  </w:style>
  <w:style w:type="character" w:customStyle="1" w:styleId="StopkaZnak">
    <w:name w:val="Stopka Znak"/>
    <w:basedOn w:val="Domylnaczcionkaakapitu"/>
    <w:link w:val="Stopka"/>
    <w:uiPriority w:val="99"/>
    <w:rsid w:val="003C7C34"/>
    <w:rPr>
      <w:sz w:val="20"/>
    </w:rPr>
  </w:style>
  <w:style w:type="paragraph" w:styleId="Tekstdymka">
    <w:name w:val="Balloon Text"/>
    <w:basedOn w:val="Normalny"/>
    <w:link w:val="TekstdymkaZnak"/>
    <w:uiPriority w:val="99"/>
    <w:semiHidden/>
    <w:unhideWhenUsed/>
    <w:rsid w:val="00396690"/>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96690"/>
    <w:rPr>
      <w:rFonts w:ascii="Tahoma" w:hAnsi="Tahoma" w:cs="Tahoma"/>
      <w:sz w:val="16"/>
      <w:szCs w:val="16"/>
    </w:rPr>
  </w:style>
  <w:style w:type="character" w:customStyle="1" w:styleId="Nagwek1Znak">
    <w:name w:val="Nagłówek 1 Znak"/>
    <w:basedOn w:val="Domylnaczcionkaakapitu"/>
    <w:link w:val="Nagwek1"/>
    <w:uiPriority w:val="9"/>
    <w:rsid w:val="008D1132"/>
    <w:rPr>
      <w:rFonts w:asciiTheme="majorHAnsi" w:eastAsiaTheme="majorEastAsia" w:hAnsiTheme="majorHAnsi" w:cstheme="majorBidi"/>
      <w:bCs/>
      <w:color w:val="00AAFF" w:themeColor="accent2"/>
      <w:sz w:val="36"/>
      <w:szCs w:val="36"/>
      <w:lang w:val="en-US"/>
    </w:rPr>
  </w:style>
  <w:style w:type="table" w:styleId="Tabela-Siatka">
    <w:name w:val="Table Grid"/>
    <w:basedOn w:val="Standardowy"/>
    <w:uiPriority w:val="59"/>
    <w:rsid w:val="000C2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epostale">
    <w:name w:val="Adresse postale"/>
    <w:basedOn w:val="Normalny"/>
    <w:semiHidden/>
    <w:rsid w:val="00317240"/>
    <w:pPr>
      <w:spacing w:line="200" w:lineRule="atLeast"/>
    </w:pPr>
    <w:rPr>
      <w:color w:val="F4C867" w:themeColor="text2"/>
      <w:sz w:val="16"/>
      <w:szCs w:val="17"/>
    </w:rPr>
  </w:style>
  <w:style w:type="paragraph" w:customStyle="1" w:styleId="Adresseinternet">
    <w:name w:val="Adresse internet"/>
    <w:basedOn w:val="Adressepostale"/>
    <w:semiHidden/>
    <w:rsid w:val="00317240"/>
    <w:pPr>
      <w:framePr w:hSpace="142" w:wrap="around" w:hAnchor="margin" w:yAlign="bottom"/>
      <w:suppressOverlap/>
      <w:jc w:val="right"/>
    </w:pPr>
    <w:rPr>
      <w:color w:val="17255F" w:themeColor="accent1"/>
      <w:sz w:val="17"/>
    </w:rPr>
  </w:style>
  <w:style w:type="paragraph" w:customStyle="1" w:styleId="Adressesocit">
    <w:name w:val="Adresse société"/>
    <w:basedOn w:val="Adressepostale"/>
    <w:semiHidden/>
    <w:rsid w:val="00317240"/>
    <w:pPr>
      <w:framePr w:hSpace="142" w:wrap="around" w:hAnchor="margin" w:yAlign="bottom"/>
      <w:suppressOverlap/>
    </w:pPr>
    <w:rPr>
      <w:sz w:val="17"/>
    </w:rPr>
  </w:style>
  <w:style w:type="paragraph" w:customStyle="1" w:styleId="Numrodetlphone">
    <w:name w:val="Numéro de téléphone"/>
    <w:basedOn w:val="Adressepostale"/>
    <w:semiHidden/>
    <w:rsid w:val="002D2268"/>
    <w:pPr>
      <w:framePr w:hSpace="142" w:wrap="around" w:hAnchor="margin" w:yAlign="bottom"/>
      <w:suppressOverlap/>
    </w:pPr>
  </w:style>
  <w:style w:type="paragraph" w:customStyle="1" w:styleId="CapitalRCS">
    <w:name w:val="Capital RCS"/>
    <w:basedOn w:val="Adressepostale"/>
    <w:semiHidden/>
    <w:rsid w:val="002D2268"/>
    <w:pPr>
      <w:framePr w:hSpace="142" w:wrap="around" w:hAnchor="margin" w:yAlign="bottom"/>
      <w:suppressOverlap/>
    </w:pPr>
  </w:style>
  <w:style w:type="paragraph" w:customStyle="1" w:styleId="Intitul">
    <w:name w:val="Intitulé"/>
    <w:basedOn w:val="Normalny"/>
    <w:qFormat/>
    <w:rsid w:val="008D1132"/>
    <w:pPr>
      <w:jc w:val="right"/>
    </w:pPr>
    <w:rPr>
      <w:color w:val="17255F" w:themeColor="accent1"/>
      <w:sz w:val="28"/>
      <w:szCs w:val="28"/>
    </w:rPr>
  </w:style>
  <w:style w:type="paragraph" w:customStyle="1" w:styleId="Textepuce">
    <w:name w:val="Texte puce"/>
    <w:basedOn w:val="Textedesaisie"/>
    <w:qFormat/>
    <w:rsid w:val="00714945"/>
    <w:pPr>
      <w:numPr>
        <w:numId w:val="15"/>
      </w:numPr>
      <w:ind w:left="680" w:hanging="340"/>
    </w:pPr>
  </w:style>
  <w:style w:type="paragraph" w:customStyle="1" w:styleId="Texteadresseinternet">
    <w:name w:val="Texte adresse internet"/>
    <w:basedOn w:val="Stopka"/>
    <w:qFormat/>
    <w:rsid w:val="00B63ACD"/>
    <w:pPr>
      <w:jc w:val="right"/>
    </w:pPr>
    <w:rPr>
      <w:color w:val="00817D" w:themeColor="accent3"/>
      <w:sz w:val="18"/>
      <w:szCs w:val="18"/>
    </w:rPr>
  </w:style>
  <w:style w:type="paragraph" w:customStyle="1" w:styleId="Adressepieddepage">
    <w:name w:val="Adresse pied de page"/>
    <w:basedOn w:val="Stopka"/>
    <w:qFormat/>
    <w:rsid w:val="00BA6623"/>
    <w:pPr>
      <w:spacing w:line="180" w:lineRule="atLeast"/>
    </w:pPr>
    <w:rPr>
      <w:color w:val="00817D" w:themeColor="accent3"/>
      <w:sz w:val="14"/>
      <w:szCs w:val="14"/>
    </w:rPr>
  </w:style>
  <w:style w:type="character" w:customStyle="1" w:styleId="Bold">
    <w:name w:val="Bold"/>
    <w:basedOn w:val="Domylnaczcionkaakapitu"/>
    <w:uiPriority w:val="1"/>
    <w:qFormat/>
    <w:rsid w:val="0078427B"/>
    <w:rPr>
      <w:rFonts w:cs="Times New Roman"/>
      <w:b/>
      <w:lang w:val="en-US" w:eastAsia="x-none"/>
    </w:rPr>
  </w:style>
  <w:style w:type="paragraph" w:customStyle="1" w:styleId="Textedesaisie">
    <w:name w:val="Texte de saisie"/>
    <w:basedOn w:val="Normalny"/>
    <w:qFormat/>
    <w:rsid w:val="00562B4F"/>
    <w:pPr>
      <w:jc w:val="both"/>
    </w:pPr>
    <w:rPr>
      <w:color w:val="000000" w:themeColor="text1"/>
    </w:rPr>
  </w:style>
  <w:style w:type="paragraph" w:customStyle="1" w:styleId="Texteintroduction">
    <w:name w:val="Texte introduction"/>
    <w:basedOn w:val="Textedesaisie"/>
    <w:qFormat/>
    <w:rsid w:val="008C0B76"/>
    <w:rPr>
      <w:b/>
      <w:sz w:val="22"/>
    </w:rPr>
  </w:style>
  <w:style w:type="paragraph" w:customStyle="1" w:styleId="Datedudocument">
    <w:name w:val="Date du document"/>
    <w:basedOn w:val="Normalny"/>
    <w:qFormat/>
    <w:rsid w:val="008D1132"/>
    <w:pPr>
      <w:jc w:val="right"/>
    </w:pPr>
    <w:rPr>
      <w:color w:val="17255F" w:themeColor="accent1"/>
      <w:sz w:val="28"/>
      <w:szCs w:val="28"/>
    </w:rPr>
  </w:style>
  <w:style w:type="character" w:styleId="Hipercze">
    <w:name w:val="Hyperlink"/>
    <w:basedOn w:val="Domylnaczcionkaakapitu"/>
    <w:uiPriority w:val="99"/>
    <w:rsid w:val="008D1132"/>
    <w:rPr>
      <w:color w:val="00AAFF" w:themeColor="accent2"/>
      <w:u w:val="single"/>
    </w:rPr>
  </w:style>
  <w:style w:type="paragraph" w:customStyle="1" w:styleId="Texteapropos">
    <w:name w:val="Texte a propos"/>
    <w:basedOn w:val="Textedesaisie"/>
    <w:qFormat/>
    <w:rsid w:val="00F92ECA"/>
    <w:pPr>
      <w:spacing w:line="216" w:lineRule="atLeast"/>
    </w:pPr>
    <w:rPr>
      <w:color w:val="auto"/>
      <w:sz w:val="18"/>
      <w:szCs w:val="18"/>
    </w:rPr>
  </w:style>
  <w:style w:type="paragraph" w:customStyle="1" w:styleId="Textecontact">
    <w:name w:val="Texte contact"/>
    <w:basedOn w:val="Textedesaisie"/>
    <w:qFormat/>
    <w:rsid w:val="00F92ECA"/>
    <w:pPr>
      <w:spacing w:line="216" w:lineRule="atLeast"/>
      <w:jc w:val="left"/>
    </w:pPr>
    <w:rPr>
      <w:color w:val="auto"/>
      <w:sz w:val="18"/>
      <w:szCs w:val="18"/>
    </w:rPr>
  </w:style>
  <w:style w:type="paragraph" w:styleId="NormalnyWeb">
    <w:name w:val="Normal (Web)"/>
    <w:basedOn w:val="Normalny"/>
    <w:uiPriority w:val="99"/>
    <w:semiHidden/>
    <w:unhideWhenUsed/>
    <w:rsid w:val="00CC7B62"/>
    <w:pPr>
      <w:spacing w:before="100" w:beforeAutospacing="1" w:after="100" w:afterAutospacing="1" w:line="240" w:lineRule="auto"/>
    </w:pPr>
    <w:rPr>
      <w:rFonts w:ascii="Times New Roman" w:eastAsia="Times New Roman" w:hAnsi="Times New Roman" w:cs="Times New Roman"/>
      <w:color w:val="auto"/>
      <w:sz w:val="24"/>
      <w:szCs w:val="24"/>
      <w:lang w:val="pl-PL" w:eastAsia="pl-PL"/>
    </w:rPr>
  </w:style>
  <w:style w:type="paragraph" w:styleId="Tekstprzypisudolnego">
    <w:name w:val="footnote text"/>
    <w:basedOn w:val="Normalny"/>
    <w:link w:val="TekstprzypisudolnegoZnak"/>
    <w:uiPriority w:val="99"/>
    <w:semiHidden/>
    <w:unhideWhenUsed/>
    <w:rsid w:val="00C23EDE"/>
    <w:pPr>
      <w:spacing w:line="240" w:lineRule="auto"/>
    </w:pPr>
    <w:rPr>
      <w:szCs w:val="20"/>
    </w:rPr>
  </w:style>
  <w:style w:type="character" w:customStyle="1" w:styleId="TekstprzypisudolnegoZnak">
    <w:name w:val="Tekst przypisu dolnego Znak"/>
    <w:basedOn w:val="Domylnaczcionkaakapitu"/>
    <w:link w:val="Tekstprzypisudolnego"/>
    <w:uiPriority w:val="99"/>
    <w:semiHidden/>
    <w:rsid w:val="00C23EDE"/>
    <w:rPr>
      <w:color w:val="67AE6E" w:themeColor="background2"/>
      <w:sz w:val="20"/>
      <w:szCs w:val="20"/>
    </w:rPr>
  </w:style>
  <w:style w:type="character" w:styleId="Odwoanieprzypisudolnego">
    <w:name w:val="footnote reference"/>
    <w:basedOn w:val="Domylnaczcionkaakapitu"/>
    <w:uiPriority w:val="99"/>
    <w:semiHidden/>
    <w:unhideWhenUsed/>
    <w:rsid w:val="00C23EDE"/>
    <w:rPr>
      <w:vertAlign w:val="superscript"/>
    </w:rPr>
  </w:style>
  <w:style w:type="character" w:styleId="UyteHipercze">
    <w:name w:val="FollowedHyperlink"/>
    <w:basedOn w:val="Domylnaczcionkaakapitu"/>
    <w:uiPriority w:val="99"/>
    <w:semiHidden/>
    <w:unhideWhenUsed/>
    <w:rsid w:val="0036517B"/>
    <w:rPr>
      <w:color w:val="000000" w:themeColor="followedHyperlink"/>
      <w:u w:val="single"/>
    </w:rPr>
  </w:style>
  <w:style w:type="character" w:customStyle="1" w:styleId="Nagwek3Znak">
    <w:name w:val="Nagłówek 3 Znak"/>
    <w:basedOn w:val="Domylnaczcionkaakapitu"/>
    <w:link w:val="Nagwek3"/>
    <w:uiPriority w:val="9"/>
    <w:semiHidden/>
    <w:rsid w:val="0089290D"/>
    <w:rPr>
      <w:rFonts w:asciiTheme="majorHAnsi" w:eastAsiaTheme="majorEastAsia" w:hAnsiTheme="majorHAnsi" w:cstheme="majorBidi"/>
      <w:color w:val="0B122F" w:themeColor="accent1" w:themeShade="7F"/>
      <w:sz w:val="24"/>
      <w:szCs w:val="24"/>
    </w:rPr>
  </w:style>
  <w:style w:type="paragraph" w:styleId="Poprawka">
    <w:name w:val="Revision"/>
    <w:hidden/>
    <w:uiPriority w:val="99"/>
    <w:semiHidden/>
    <w:rsid w:val="00823496"/>
    <w:pPr>
      <w:spacing w:after="0" w:line="240" w:lineRule="auto"/>
    </w:pPr>
    <w:rPr>
      <w:color w:val="67AE6E" w:themeColor="background2"/>
      <w:sz w:val="20"/>
    </w:rPr>
  </w:style>
  <w:style w:type="character" w:customStyle="1" w:styleId="Nierozpoznanawzmianka1">
    <w:name w:val="Nierozpoznana wzmianka1"/>
    <w:basedOn w:val="Domylnaczcionkaakapitu"/>
    <w:uiPriority w:val="99"/>
    <w:semiHidden/>
    <w:unhideWhenUsed/>
    <w:rsid w:val="001C1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65848">
      <w:bodyDiv w:val="1"/>
      <w:marLeft w:val="0"/>
      <w:marRight w:val="0"/>
      <w:marTop w:val="0"/>
      <w:marBottom w:val="0"/>
      <w:divBdr>
        <w:top w:val="none" w:sz="0" w:space="0" w:color="auto"/>
        <w:left w:val="none" w:sz="0" w:space="0" w:color="auto"/>
        <w:bottom w:val="none" w:sz="0" w:space="0" w:color="auto"/>
        <w:right w:val="none" w:sz="0" w:space="0" w:color="auto"/>
      </w:divBdr>
    </w:div>
    <w:div w:id="222916196">
      <w:bodyDiv w:val="1"/>
      <w:marLeft w:val="0"/>
      <w:marRight w:val="0"/>
      <w:marTop w:val="0"/>
      <w:marBottom w:val="0"/>
      <w:divBdr>
        <w:top w:val="none" w:sz="0" w:space="0" w:color="auto"/>
        <w:left w:val="none" w:sz="0" w:space="0" w:color="auto"/>
        <w:bottom w:val="none" w:sz="0" w:space="0" w:color="auto"/>
        <w:right w:val="none" w:sz="0" w:space="0" w:color="auto"/>
      </w:divBdr>
    </w:div>
    <w:div w:id="269627067">
      <w:bodyDiv w:val="1"/>
      <w:marLeft w:val="0"/>
      <w:marRight w:val="0"/>
      <w:marTop w:val="0"/>
      <w:marBottom w:val="0"/>
      <w:divBdr>
        <w:top w:val="none" w:sz="0" w:space="0" w:color="auto"/>
        <w:left w:val="none" w:sz="0" w:space="0" w:color="auto"/>
        <w:bottom w:val="none" w:sz="0" w:space="0" w:color="auto"/>
        <w:right w:val="none" w:sz="0" w:space="0" w:color="auto"/>
      </w:divBdr>
    </w:div>
    <w:div w:id="273558513">
      <w:bodyDiv w:val="1"/>
      <w:marLeft w:val="0"/>
      <w:marRight w:val="0"/>
      <w:marTop w:val="0"/>
      <w:marBottom w:val="0"/>
      <w:divBdr>
        <w:top w:val="none" w:sz="0" w:space="0" w:color="auto"/>
        <w:left w:val="none" w:sz="0" w:space="0" w:color="auto"/>
        <w:bottom w:val="none" w:sz="0" w:space="0" w:color="auto"/>
        <w:right w:val="none" w:sz="0" w:space="0" w:color="auto"/>
      </w:divBdr>
    </w:div>
    <w:div w:id="304241339">
      <w:bodyDiv w:val="1"/>
      <w:marLeft w:val="0"/>
      <w:marRight w:val="0"/>
      <w:marTop w:val="0"/>
      <w:marBottom w:val="0"/>
      <w:divBdr>
        <w:top w:val="none" w:sz="0" w:space="0" w:color="auto"/>
        <w:left w:val="none" w:sz="0" w:space="0" w:color="auto"/>
        <w:bottom w:val="none" w:sz="0" w:space="0" w:color="auto"/>
        <w:right w:val="none" w:sz="0" w:space="0" w:color="auto"/>
      </w:divBdr>
    </w:div>
    <w:div w:id="372507481">
      <w:bodyDiv w:val="1"/>
      <w:marLeft w:val="0"/>
      <w:marRight w:val="0"/>
      <w:marTop w:val="0"/>
      <w:marBottom w:val="0"/>
      <w:divBdr>
        <w:top w:val="none" w:sz="0" w:space="0" w:color="auto"/>
        <w:left w:val="none" w:sz="0" w:space="0" w:color="auto"/>
        <w:bottom w:val="none" w:sz="0" w:space="0" w:color="auto"/>
        <w:right w:val="none" w:sz="0" w:space="0" w:color="auto"/>
      </w:divBdr>
    </w:div>
    <w:div w:id="384377852">
      <w:bodyDiv w:val="1"/>
      <w:marLeft w:val="0"/>
      <w:marRight w:val="0"/>
      <w:marTop w:val="0"/>
      <w:marBottom w:val="0"/>
      <w:divBdr>
        <w:top w:val="none" w:sz="0" w:space="0" w:color="auto"/>
        <w:left w:val="none" w:sz="0" w:space="0" w:color="auto"/>
        <w:bottom w:val="none" w:sz="0" w:space="0" w:color="auto"/>
        <w:right w:val="none" w:sz="0" w:space="0" w:color="auto"/>
      </w:divBdr>
    </w:div>
    <w:div w:id="418016328">
      <w:bodyDiv w:val="1"/>
      <w:marLeft w:val="0"/>
      <w:marRight w:val="0"/>
      <w:marTop w:val="0"/>
      <w:marBottom w:val="0"/>
      <w:divBdr>
        <w:top w:val="none" w:sz="0" w:space="0" w:color="auto"/>
        <w:left w:val="none" w:sz="0" w:space="0" w:color="auto"/>
        <w:bottom w:val="none" w:sz="0" w:space="0" w:color="auto"/>
        <w:right w:val="none" w:sz="0" w:space="0" w:color="auto"/>
      </w:divBdr>
    </w:div>
    <w:div w:id="511576875">
      <w:bodyDiv w:val="1"/>
      <w:marLeft w:val="0"/>
      <w:marRight w:val="0"/>
      <w:marTop w:val="0"/>
      <w:marBottom w:val="0"/>
      <w:divBdr>
        <w:top w:val="none" w:sz="0" w:space="0" w:color="auto"/>
        <w:left w:val="none" w:sz="0" w:space="0" w:color="auto"/>
        <w:bottom w:val="none" w:sz="0" w:space="0" w:color="auto"/>
        <w:right w:val="none" w:sz="0" w:space="0" w:color="auto"/>
      </w:divBdr>
    </w:div>
    <w:div w:id="531192111">
      <w:bodyDiv w:val="1"/>
      <w:marLeft w:val="0"/>
      <w:marRight w:val="0"/>
      <w:marTop w:val="0"/>
      <w:marBottom w:val="0"/>
      <w:divBdr>
        <w:top w:val="none" w:sz="0" w:space="0" w:color="auto"/>
        <w:left w:val="none" w:sz="0" w:space="0" w:color="auto"/>
        <w:bottom w:val="none" w:sz="0" w:space="0" w:color="auto"/>
        <w:right w:val="none" w:sz="0" w:space="0" w:color="auto"/>
      </w:divBdr>
    </w:div>
    <w:div w:id="566913306">
      <w:bodyDiv w:val="1"/>
      <w:marLeft w:val="0"/>
      <w:marRight w:val="0"/>
      <w:marTop w:val="0"/>
      <w:marBottom w:val="0"/>
      <w:divBdr>
        <w:top w:val="none" w:sz="0" w:space="0" w:color="auto"/>
        <w:left w:val="none" w:sz="0" w:space="0" w:color="auto"/>
        <w:bottom w:val="none" w:sz="0" w:space="0" w:color="auto"/>
        <w:right w:val="none" w:sz="0" w:space="0" w:color="auto"/>
      </w:divBdr>
    </w:div>
    <w:div w:id="572468994">
      <w:bodyDiv w:val="1"/>
      <w:marLeft w:val="0"/>
      <w:marRight w:val="0"/>
      <w:marTop w:val="0"/>
      <w:marBottom w:val="0"/>
      <w:divBdr>
        <w:top w:val="none" w:sz="0" w:space="0" w:color="auto"/>
        <w:left w:val="none" w:sz="0" w:space="0" w:color="auto"/>
        <w:bottom w:val="none" w:sz="0" w:space="0" w:color="auto"/>
        <w:right w:val="none" w:sz="0" w:space="0" w:color="auto"/>
      </w:divBdr>
    </w:div>
    <w:div w:id="627130593">
      <w:bodyDiv w:val="1"/>
      <w:marLeft w:val="0"/>
      <w:marRight w:val="0"/>
      <w:marTop w:val="0"/>
      <w:marBottom w:val="0"/>
      <w:divBdr>
        <w:top w:val="none" w:sz="0" w:space="0" w:color="auto"/>
        <w:left w:val="none" w:sz="0" w:space="0" w:color="auto"/>
        <w:bottom w:val="none" w:sz="0" w:space="0" w:color="auto"/>
        <w:right w:val="none" w:sz="0" w:space="0" w:color="auto"/>
      </w:divBdr>
    </w:div>
    <w:div w:id="630089419">
      <w:bodyDiv w:val="1"/>
      <w:marLeft w:val="0"/>
      <w:marRight w:val="0"/>
      <w:marTop w:val="0"/>
      <w:marBottom w:val="0"/>
      <w:divBdr>
        <w:top w:val="none" w:sz="0" w:space="0" w:color="auto"/>
        <w:left w:val="none" w:sz="0" w:space="0" w:color="auto"/>
        <w:bottom w:val="none" w:sz="0" w:space="0" w:color="auto"/>
        <w:right w:val="none" w:sz="0" w:space="0" w:color="auto"/>
      </w:divBdr>
    </w:div>
    <w:div w:id="707682974">
      <w:bodyDiv w:val="1"/>
      <w:marLeft w:val="0"/>
      <w:marRight w:val="0"/>
      <w:marTop w:val="0"/>
      <w:marBottom w:val="0"/>
      <w:divBdr>
        <w:top w:val="none" w:sz="0" w:space="0" w:color="auto"/>
        <w:left w:val="none" w:sz="0" w:space="0" w:color="auto"/>
        <w:bottom w:val="none" w:sz="0" w:space="0" w:color="auto"/>
        <w:right w:val="none" w:sz="0" w:space="0" w:color="auto"/>
      </w:divBdr>
    </w:div>
    <w:div w:id="740755218">
      <w:bodyDiv w:val="1"/>
      <w:marLeft w:val="0"/>
      <w:marRight w:val="0"/>
      <w:marTop w:val="0"/>
      <w:marBottom w:val="0"/>
      <w:divBdr>
        <w:top w:val="none" w:sz="0" w:space="0" w:color="auto"/>
        <w:left w:val="none" w:sz="0" w:space="0" w:color="auto"/>
        <w:bottom w:val="none" w:sz="0" w:space="0" w:color="auto"/>
        <w:right w:val="none" w:sz="0" w:space="0" w:color="auto"/>
      </w:divBdr>
    </w:div>
    <w:div w:id="774596020">
      <w:bodyDiv w:val="1"/>
      <w:marLeft w:val="0"/>
      <w:marRight w:val="0"/>
      <w:marTop w:val="0"/>
      <w:marBottom w:val="0"/>
      <w:divBdr>
        <w:top w:val="none" w:sz="0" w:space="0" w:color="auto"/>
        <w:left w:val="none" w:sz="0" w:space="0" w:color="auto"/>
        <w:bottom w:val="none" w:sz="0" w:space="0" w:color="auto"/>
        <w:right w:val="none" w:sz="0" w:space="0" w:color="auto"/>
      </w:divBdr>
    </w:div>
    <w:div w:id="789008216">
      <w:bodyDiv w:val="1"/>
      <w:marLeft w:val="0"/>
      <w:marRight w:val="0"/>
      <w:marTop w:val="0"/>
      <w:marBottom w:val="0"/>
      <w:divBdr>
        <w:top w:val="none" w:sz="0" w:space="0" w:color="auto"/>
        <w:left w:val="none" w:sz="0" w:space="0" w:color="auto"/>
        <w:bottom w:val="none" w:sz="0" w:space="0" w:color="auto"/>
        <w:right w:val="none" w:sz="0" w:space="0" w:color="auto"/>
      </w:divBdr>
    </w:div>
    <w:div w:id="799566335">
      <w:bodyDiv w:val="1"/>
      <w:marLeft w:val="0"/>
      <w:marRight w:val="0"/>
      <w:marTop w:val="0"/>
      <w:marBottom w:val="0"/>
      <w:divBdr>
        <w:top w:val="none" w:sz="0" w:space="0" w:color="auto"/>
        <w:left w:val="none" w:sz="0" w:space="0" w:color="auto"/>
        <w:bottom w:val="none" w:sz="0" w:space="0" w:color="auto"/>
        <w:right w:val="none" w:sz="0" w:space="0" w:color="auto"/>
      </w:divBdr>
    </w:div>
    <w:div w:id="810514345">
      <w:bodyDiv w:val="1"/>
      <w:marLeft w:val="0"/>
      <w:marRight w:val="0"/>
      <w:marTop w:val="0"/>
      <w:marBottom w:val="0"/>
      <w:divBdr>
        <w:top w:val="none" w:sz="0" w:space="0" w:color="auto"/>
        <w:left w:val="none" w:sz="0" w:space="0" w:color="auto"/>
        <w:bottom w:val="none" w:sz="0" w:space="0" w:color="auto"/>
        <w:right w:val="none" w:sz="0" w:space="0" w:color="auto"/>
      </w:divBdr>
    </w:div>
    <w:div w:id="844781480">
      <w:bodyDiv w:val="1"/>
      <w:marLeft w:val="0"/>
      <w:marRight w:val="0"/>
      <w:marTop w:val="0"/>
      <w:marBottom w:val="0"/>
      <w:divBdr>
        <w:top w:val="none" w:sz="0" w:space="0" w:color="auto"/>
        <w:left w:val="none" w:sz="0" w:space="0" w:color="auto"/>
        <w:bottom w:val="none" w:sz="0" w:space="0" w:color="auto"/>
        <w:right w:val="none" w:sz="0" w:space="0" w:color="auto"/>
      </w:divBdr>
    </w:div>
    <w:div w:id="898057031">
      <w:bodyDiv w:val="1"/>
      <w:marLeft w:val="0"/>
      <w:marRight w:val="0"/>
      <w:marTop w:val="0"/>
      <w:marBottom w:val="0"/>
      <w:divBdr>
        <w:top w:val="none" w:sz="0" w:space="0" w:color="auto"/>
        <w:left w:val="none" w:sz="0" w:space="0" w:color="auto"/>
        <w:bottom w:val="none" w:sz="0" w:space="0" w:color="auto"/>
        <w:right w:val="none" w:sz="0" w:space="0" w:color="auto"/>
      </w:divBdr>
    </w:div>
    <w:div w:id="1062824068">
      <w:bodyDiv w:val="1"/>
      <w:marLeft w:val="0"/>
      <w:marRight w:val="0"/>
      <w:marTop w:val="0"/>
      <w:marBottom w:val="0"/>
      <w:divBdr>
        <w:top w:val="none" w:sz="0" w:space="0" w:color="auto"/>
        <w:left w:val="none" w:sz="0" w:space="0" w:color="auto"/>
        <w:bottom w:val="none" w:sz="0" w:space="0" w:color="auto"/>
        <w:right w:val="none" w:sz="0" w:space="0" w:color="auto"/>
      </w:divBdr>
    </w:div>
    <w:div w:id="1147628025">
      <w:bodyDiv w:val="1"/>
      <w:marLeft w:val="0"/>
      <w:marRight w:val="0"/>
      <w:marTop w:val="0"/>
      <w:marBottom w:val="0"/>
      <w:divBdr>
        <w:top w:val="none" w:sz="0" w:space="0" w:color="auto"/>
        <w:left w:val="none" w:sz="0" w:space="0" w:color="auto"/>
        <w:bottom w:val="none" w:sz="0" w:space="0" w:color="auto"/>
        <w:right w:val="none" w:sz="0" w:space="0" w:color="auto"/>
      </w:divBdr>
    </w:div>
    <w:div w:id="1225141985">
      <w:bodyDiv w:val="1"/>
      <w:marLeft w:val="0"/>
      <w:marRight w:val="0"/>
      <w:marTop w:val="0"/>
      <w:marBottom w:val="0"/>
      <w:divBdr>
        <w:top w:val="none" w:sz="0" w:space="0" w:color="auto"/>
        <w:left w:val="none" w:sz="0" w:space="0" w:color="auto"/>
        <w:bottom w:val="none" w:sz="0" w:space="0" w:color="auto"/>
        <w:right w:val="none" w:sz="0" w:space="0" w:color="auto"/>
      </w:divBdr>
    </w:div>
    <w:div w:id="1251113647">
      <w:bodyDiv w:val="1"/>
      <w:marLeft w:val="0"/>
      <w:marRight w:val="0"/>
      <w:marTop w:val="0"/>
      <w:marBottom w:val="0"/>
      <w:divBdr>
        <w:top w:val="none" w:sz="0" w:space="0" w:color="auto"/>
        <w:left w:val="none" w:sz="0" w:space="0" w:color="auto"/>
        <w:bottom w:val="none" w:sz="0" w:space="0" w:color="auto"/>
        <w:right w:val="none" w:sz="0" w:space="0" w:color="auto"/>
      </w:divBdr>
    </w:div>
    <w:div w:id="1261910482">
      <w:bodyDiv w:val="1"/>
      <w:marLeft w:val="0"/>
      <w:marRight w:val="0"/>
      <w:marTop w:val="0"/>
      <w:marBottom w:val="0"/>
      <w:divBdr>
        <w:top w:val="none" w:sz="0" w:space="0" w:color="auto"/>
        <w:left w:val="none" w:sz="0" w:space="0" w:color="auto"/>
        <w:bottom w:val="none" w:sz="0" w:space="0" w:color="auto"/>
        <w:right w:val="none" w:sz="0" w:space="0" w:color="auto"/>
      </w:divBdr>
      <w:divsChild>
        <w:div w:id="1569921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3854434">
      <w:bodyDiv w:val="1"/>
      <w:marLeft w:val="0"/>
      <w:marRight w:val="0"/>
      <w:marTop w:val="0"/>
      <w:marBottom w:val="0"/>
      <w:divBdr>
        <w:top w:val="none" w:sz="0" w:space="0" w:color="auto"/>
        <w:left w:val="none" w:sz="0" w:space="0" w:color="auto"/>
        <w:bottom w:val="none" w:sz="0" w:space="0" w:color="auto"/>
        <w:right w:val="none" w:sz="0" w:space="0" w:color="auto"/>
      </w:divBdr>
    </w:div>
    <w:div w:id="1349792954">
      <w:bodyDiv w:val="1"/>
      <w:marLeft w:val="0"/>
      <w:marRight w:val="0"/>
      <w:marTop w:val="0"/>
      <w:marBottom w:val="0"/>
      <w:divBdr>
        <w:top w:val="none" w:sz="0" w:space="0" w:color="auto"/>
        <w:left w:val="none" w:sz="0" w:space="0" w:color="auto"/>
        <w:bottom w:val="none" w:sz="0" w:space="0" w:color="auto"/>
        <w:right w:val="none" w:sz="0" w:space="0" w:color="auto"/>
      </w:divBdr>
    </w:div>
    <w:div w:id="1407729345">
      <w:bodyDiv w:val="1"/>
      <w:marLeft w:val="0"/>
      <w:marRight w:val="0"/>
      <w:marTop w:val="0"/>
      <w:marBottom w:val="0"/>
      <w:divBdr>
        <w:top w:val="none" w:sz="0" w:space="0" w:color="auto"/>
        <w:left w:val="none" w:sz="0" w:space="0" w:color="auto"/>
        <w:bottom w:val="none" w:sz="0" w:space="0" w:color="auto"/>
        <w:right w:val="none" w:sz="0" w:space="0" w:color="auto"/>
      </w:divBdr>
    </w:div>
    <w:div w:id="1590653171">
      <w:bodyDiv w:val="1"/>
      <w:marLeft w:val="0"/>
      <w:marRight w:val="0"/>
      <w:marTop w:val="0"/>
      <w:marBottom w:val="0"/>
      <w:divBdr>
        <w:top w:val="none" w:sz="0" w:space="0" w:color="auto"/>
        <w:left w:val="none" w:sz="0" w:space="0" w:color="auto"/>
        <w:bottom w:val="none" w:sz="0" w:space="0" w:color="auto"/>
        <w:right w:val="none" w:sz="0" w:space="0" w:color="auto"/>
      </w:divBdr>
    </w:div>
    <w:div w:id="1690062965">
      <w:bodyDiv w:val="1"/>
      <w:marLeft w:val="0"/>
      <w:marRight w:val="0"/>
      <w:marTop w:val="0"/>
      <w:marBottom w:val="0"/>
      <w:divBdr>
        <w:top w:val="none" w:sz="0" w:space="0" w:color="auto"/>
        <w:left w:val="none" w:sz="0" w:space="0" w:color="auto"/>
        <w:bottom w:val="none" w:sz="0" w:space="0" w:color="auto"/>
        <w:right w:val="none" w:sz="0" w:space="0" w:color="auto"/>
      </w:divBdr>
    </w:div>
    <w:div w:id="1780828252">
      <w:bodyDiv w:val="1"/>
      <w:marLeft w:val="0"/>
      <w:marRight w:val="0"/>
      <w:marTop w:val="0"/>
      <w:marBottom w:val="0"/>
      <w:divBdr>
        <w:top w:val="none" w:sz="0" w:space="0" w:color="auto"/>
        <w:left w:val="none" w:sz="0" w:space="0" w:color="auto"/>
        <w:bottom w:val="none" w:sz="0" w:space="0" w:color="auto"/>
        <w:right w:val="none" w:sz="0" w:space="0" w:color="auto"/>
      </w:divBdr>
    </w:div>
    <w:div w:id="1812019750">
      <w:bodyDiv w:val="1"/>
      <w:marLeft w:val="0"/>
      <w:marRight w:val="0"/>
      <w:marTop w:val="0"/>
      <w:marBottom w:val="0"/>
      <w:divBdr>
        <w:top w:val="none" w:sz="0" w:space="0" w:color="auto"/>
        <w:left w:val="none" w:sz="0" w:space="0" w:color="auto"/>
        <w:bottom w:val="none" w:sz="0" w:space="0" w:color="auto"/>
        <w:right w:val="none" w:sz="0" w:space="0" w:color="auto"/>
      </w:divBdr>
    </w:div>
    <w:div w:id="1829440158">
      <w:bodyDiv w:val="1"/>
      <w:marLeft w:val="0"/>
      <w:marRight w:val="0"/>
      <w:marTop w:val="0"/>
      <w:marBottom w:val="0"/>
      <w:divBdr>
        <w:top w:val="none" w:sz="0" w:space="0" w:color="auto"/>
        <w:left w:val="none" w:sz="0" w:space="0" w:color="auto"/>
        <w:bottom w:val="none" w:sz="0" w:space="0" w:color="auto"/>
        <w:right w:val="none" w:sz="0" w:space="0" w:color="auto"/>
      </w:divBdr>
    </w:div>
    <w:div w:id="1836408243">
      <w:bodyDiv w:val="1"/>
      <w:marLeft w:val="0"/>
      <w:marRight w:val="0"/>
      <w:marTop w:val="0"/>
      <w:marBottom w:val="0"/>
      <w:divBdr>
        <w:top w:val="none" w:sz="0" w:space="0" w:color="auto"/>
        <w:left w:val="none" w:sz="0" w:space="0" w:color="auto"/>
        <w:bottom w:val="none" w:sz="0" w:space="0" w:color="auto"/>
        <w:right w:val="none" w:sz="0" w:space="0" w:color="auto"/>
      </w:divBdr>
      <w:divsChild>
        <w:div w:id="1332103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1083850">
      <w:bodyDiv w:val="1"/>
      <w:marLeft w:val="0"/>
      <w:marRight w:val="0"/>
      <w:marTop w:val="0"/>
      <w:marBottom w:val="0"/>
      <w:divBdr>
        <w:top w:val="none" w:sz="0" w:space="0" w:color="auto"/>
        <w:left w:val="none" w:sz="0" w:space="0" w:color="auto"/>
        <w:bottom w:val="none" w:sz="0" w:space="0" w:color="auto"/>
        <w:right w:val="none" w:sz="0" w:space="0" w:color="auto"/>
      </w:divBdr>
    </w:div>
    <w:div w:id="205731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gdalena.jarominska@engi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cj\Downloads\Press%20release%20Template%20(2).dotx" TargetMode="External"/></Relationships>
</file>

<file path=word/theme/theme1.xml><?xml version="1.0" encoding="utf-8"?>
<a:theme xmlns:a="http://schemas.openxmlformats.org/drawingml/2006/main" name="Thème Office">
  <a:themeElements>
    <a:clrScheme name="ENGIE WORD">
      <a:dk1>
        <a:sysClr val="windowText" lastClr="000000"/>
      </a:dk1>
      <a:lt1>
        <a:sysClr val="window" lastClr="FFFFFF"/>
      </a:lt1>
      <a:dk2>
        <a:srgbClr val="F4C867"/>
      </a:dk2>
      <a:lt2>
        <a:srgbClr val="67AE6E"/>
      </a:lt2>
      <a:accent1>
        <a:srgbClr val="17255F"/>
      </a:accent1>
      <a:accent2>
        <a:srgbClr val="00AAFF"/>
      </a:accent2>
      <a:accent3>
        <a:srgbClr val="00817D"/>
      </a:accent3>
      <a:accent4>
        <a:srgbClr val="E18554"/>
      </a:accent4>
      <a:accent5>
        <a:srgbClr val="1D8CBC"/>
      </a:accent5>
      <a:accent6>
        <a:srgbClr val="4BB0B9"/>
      </a:accent6>
      <a:hlink>
        <a:srgbClr val="000000"/>
      </a:hlink>
      <a:folHlink>
        <a:srgbClr val="000000"/>
      </a:folHlink>
    </a:clrScheme>
    <a:fontScheme name="Arial Black - Arial">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b5a6ef-3976-4b86-a61c-2b233245df1a">
      <Terms xmlns="http://schemas.microsoft.com/office/infopath/2007/PartnerControls"/>
    </lcf76f155ced4ddcb4097134ff3c332f>
    <b1b820adfd3e4a078472514c1a5cb5ff xmlns="87037488-ec5d-4aba-84c2-9b1d22638e8e">
      <Terms xmlns="http://schemas.microsoft.com/office/infopath/2007/PartnerControls"/>
    </b1b820adfd3e4a078472514c1a5cb5ff>
    <TaxCatchAll xmlns="87037488-ec5d-4aba-84c2-9b1d22638e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1BEBC1F51AFBC4FA9CABE1273F680D0" ma:contentTypeVersion="16" ma:contentTypeDescription="Utwórz nowy dokument." ma:contentTypeScope="" ma:versionID="5fe782b47889094dd2a2c9da467a79e4">
  <xsd:schema xmlns:xsd="http://www.w3.org/2001/XMLSchema" xmlns:xs="http://www.w3.org/2001/XMLSchema" xmlns:p="http://schemas.microsoft.com/office/2006/metadata/properties" xmlns:ns2="87037488-ec5d-4aba-84c2-9b1d22638e8e" xmlns:ns3="58b5a6ef-3976-4b86-a61c-2b233245df1a" xmlns:ns4="e0555a73-95f1-4537-8631-abe7d984fa9b" targetNamespace="http://schemas.microsoft.com/office/2006/metadata/properties" ma:root="true" ma:fieldsID="e2c88469c185f4f57674055d7e4ec425" ns2:_="" ns3:_="" ns4:_="">
    <xsd:import namespace="87037488-ec5d-4aba-84c2-9b1d22638e8e"/>
    <xsd:import namespace="58b5a6ef-3976-4b86-a61c-2b233245df1a"/>
    <xsd:import namespace="e0555a73-95f1-4537-8631-abe7d984fa9b"/>
    <xsd:element name="properties">
      <xsd:complexType>
        <xsd:sequence>
          <xsd:element name="documentManagement">
            <xsd:complexType>
              <xsd:all>
                <xsd:element ref="ns2:b1b820adfd3e4a078472514c1a5cb5ff" minOccurs="0"/>
                <xsd:element ref="ns2:TaxCatchAll" minOccurs="0"/>
                <xsd:element ref="ns2:TaxCatchAllLabel"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3:MediaServiceOCR" minOccurs="0"/>
                <xsd:element ref="ns3:lcf76f155ced4ddcb4097134ff3c332f"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37488-ec5d-4aba-84c2-9b1d22638e8e"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3bf472f7-a010-4b5a-bb99-a26ed4c99680" ma:termSetId="0c0ba91f-ee81-4a79-83f6-c19eebf2f16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8b10c86-abff-4866-8eb6-950d4954d5e5}" ma:internalName="TaxCatchAll" ma:showField="CatchAllData" ma:web="e0555a73-95f1-4537-8631-abe7d984fa9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8b10c86-abff-4866-8eb6-950d4954d5e5}" ma:internalName="TaxCatchAllLabel" ma:readOnly="true" ma:showField="CatchAllDataLabel" ma:web="e0555a73-95f1-4537-8631-abe7d984fa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b5a6ef-3976-4b86-a61c-2b233245df1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3bf472f7-a010-4b5a-bb99-a26ed4c996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555a73-95f1-4537-8631-abe7d984fa9b"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bf472f7-a010-4b5a-bb99-a26ed4c99680"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69931-3C41-47CF-A7DE-5846CA1A3900}">
  <ds:schemaRefs>
    <ds:schemaRef ds:uri="http://schemas.microsoft.com/office/2006/metadata/properties"/>
    <ds:schemaRef ds:uri="http://schemas.microsoft.com/office/infopath/2007/PartnerControls"/>
    <ds:schemaRef ds:uri="58b5a6ef-3976-4b86-a61c-2b233245df1a"/>
    <ds:schemaRef ds:uri="87037488-ec5d-4aba-84c2-9b1d22638e8e"/>
  </ds:schemaRefs>
</ds:datastoreItem>
</file>

<file path=customXml/itemProps2.xml><?xml version="1.0" encoding="utf-8"?>
<ds:datastoreItem xmlns:ds="http://schemas.openxmlformats.org/officeDocument/2006/customXml" ds:itemID="{DB9D7AC7-08C6-48A5-BA35-3E95013CF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37488-ec5d-4aba-84c2-9b1d22638e8e"/>
    <ds:schemaRef ds:uri="58b5a6ef-3976-4b86-a61c-2b233245df1a"/>
    <ds:schemaRef ds:uri="e0555a73-95f1-4537-8631-abe7d984f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D70757-20A6-4983-BC83-EA142C2D6308}">
  <ds:schemaRefs>
    <ds:schemaRef ds:uri="Microsoft.SharePoint.Taxonomy.ContentTypeSync"/>
  </ds:schemaRefs>
</ds:datastoreItem>
</file>

<file path=customXml/itemProps4.xml><?xml version="1.0" encoding="utf-8"?>
<ds:datastoreItem xmlns:ds="http://schemas.openxmlformats.org/officeDocument/2006/customXml" ds:itemID="{F92E00FE-3F8A-4101-9AA7-C405E5B8461C}">
  <ds:schemaRefs>
    <ds:schemaRef ds:uri="http://schemas.microsoft.com/sharepoint/v3/contenttype/forms"/>
  </ds:schemaRefs>
</ds:datastoreItem>
</file>

<file path=customXml/itemProps5.xml><?xml version="1.0" encoding="utf-8"?>
<ds:datastoreItem xmlns:ds="http://schemas.openxmlformats.org/officeDocument/2006/customXml" ds:itemID="{A06C7757-3B6E-4670-89C2-0A0C9F82BB11}">
  <ds:schemaRefs>
    <ds:schemaRef ds:uri="http://schemas.openxmlformats.org/officeDocument/2006/bibliography"/>
  </ds:schemaRefs>
</ds:datastoreItem>
</file>

<file path=docMetadata/LabelInfo.xml><?xml version="1.0" encoding="utf-8"?>
<clbl:labelList xmlns:clbl="http://schemas.microsoft.com/office/2020/mipLabelMetadata">
  <clbl:label id="{0a9b9e15-83d2-4075-9282-a04e05c6580a}"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Press release Template (2)</Template>
  <TotalTime>2</TotalTime>
  <Pages>4</Pages>
  <Words>1574</Words>
  <Characters>9449</Characters>
  <Application>Microsoft Office Word</Application>
  <DocSecurity>0</DocSecurity>
  <Lines>78</Lines>
  <Paragraphs>22</Paragraphs>
  <ScaleCrop>false</ScaleCrop>
  <HeadingPairs>
    <vt:vector size="4" baseType="variant">
      <vt:variant>
        <vt:lpstr>Tytuł</vt:lpstr>
      </vt:variant>
      <vt:variant>
        <vt:i4>1</vt:i4>
      </vt:variant>
      <vt:variant>
        <vt:lpstr>Titre</vt:lpstr>
      </vt:variant>
      <vt:variant>
        <vt:i4>1</vt:i4>
      </vt:variant>
    </vt:vector>
  </HeadingPairs>
  <TitlesOfParts>
    <vt:vector size="2" baseType="lpstr">
      <vt:lpstr>ENGIE</vt:lpstr>
      <vt:lpstr>ENGIE</vt:lpstr>
    </vt:vector>
  </TitlesOfParts>
  <Manager>ENGIE</Manager>
  <Company>ENGIE</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ENGIE</dc:title>
  <dc:subject>ENGIE</dc:subject>
  <dc:creator>Alicja Dołęgowska</dc:creator>
  <cp:lastModifiedBy>Alicja Dołęgowska</cp:lastModifiedBy>
  <cp:revision>5</cp:revision>
  <dcterms:created xsi:type="dcterms:W3CDTF">2026-02-13T12:46:00Z</dcterms:created>
  <dcterms:modified xsi:type="dcterms:W3CDTF">2026-03-03T08:22:00Z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0x01010051BEBC1F51AFBC4FA9CABE1273F680D0</vt:lpwstr>
  </property>
</Properties>
</file>