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45C2" w14:textId="156122C8" w:rsidR="00C52F25" w:rsidRDefault="00C6498E" w:rsidP="00C52F25">
      <w:pPr>
        <w:rPr>
          <w:bCs/>
        </w:rPr>
      </w:pPr>
      <w:r w:rsidRPr="00C6498E">
        <w:rPr>
          <w:bCs/>
        </w:rPr>
        <w:t>Informacja prasowa</w:t>
      </w:r>
    </w:p>
    <w:p w14:paraId="1F620B0A" w14:textId="756F6F41" w:rsidR="00C6498E" w:rsidRPr="00C6498E" w:rsidRDefault="00C6498E" w:rsidP="00C6498E">
      <w:pPr>
        <w:jc w:val="right"/>
        <w:rPr>
          <w:bCs/>
        </w:rPr>
      </w:pPr>
      <w:r w:rsidRPr="00C6498E">
        <w:rPr>
          <w:bCs/>
        </w:rPr>
        <w:t xml:space="preserve">Warszawa, </w:t>
      </w:r>
      <w:r w:rsidR="00825EA4">
        <w:rPr>
          <w:bCs/>
        </w:rPr>
        <w:t>2</w:t>
      </w:r>
      <w:r w:rsidR="009A5758">
        <w:rPr>
          <w:bCs/>
        </w:rPr>
        <w:t>8</w:t>
      </w:r>
      <w:r w:rsidR="00FB33AC">
        <w:rPr>
          <w:bCs/>
        </w:rPr>
        <w:t>.</w:t>
      </w:r>
      <w:r w:rsidR="000F6FDD">
        <w:rPr>
          <w:bCs/>
        </w:rPr>
        <w:t>0</w:t>
      </w:r>
      <w:r w:rsidR="00B929DF">
        <w:rPr>
          <w:bCs/>
        </w:rPr>
        <w:t>2</w:t>
      </w:r>
      <w:r w:rsidRPr="00C6498E">
        <w:rPr>
          <w:bCs/>
        </w:rPr>
        <w:t>.202</w:t>
      </w:r>
      <w:r w:rsidR="00B929DF">
        <w:rPr>
          <w:bCs/>
        </w:rPr>
        <w:t>6</w:t>
      </w:r>
      <w:r>
        <w:rPr>
          <w:bCs/>
        </w:rPr>
        <w:t xml:space="preserve"> r. </w:t>
      </w:r>
    </w:p>
    <w:p w14:paraId="2EFE895A" w14:textId="66AB2FF2" w:rsidR="00D448FD" w:rsidRPr="00C6498E" w:rsidRDefault="002E076B" w:rsidP="0029518B">
      <w:pPr>
        <w:jc w:val="both"/>
        <w:rPr>
          <w:b/>
          <w:sz w:val="32"/>
          <w:szCs w:val="32"/>
        </w:rPr>
      </w:pPr>
      <w:r>
        <w:rPr>
          <w:b/>
          <w:sz w:val="32"/>
          <w:szCs w:val="32"/>
        </w:rPr>
        <w:t xml:space="preserve">Podsumowanie sklepowych półek z herbatami: </w:t>
      </w:r>
      <w:r w:rsidR="00EB5072">
        <w:rPr>
          <w:b/>
          <w:sz w:val="32"/>
          <w:szCs w:val="32"/>
        </w:rPr>
        <w:t>K</w:t>
      </w:r>
      <w:r w:rsidR="00EB5072" w:rsidRPr="00EB5072">
        <w:rPr>
          <w:b/>
          <w:sz w:val="32"/>
          <w:szCs w:val="32"/>
        </w:rPr>
        <w:t>tóre marki dominowały w 2025</w:t>
      </w:r>
      <w:r w:rsidR="00EE151C">
        <w:rPr>
          <w:b/>
          <w:sz w:val="32"/>
          <w:szCs w:val="32"/>
        </w:rPr>
        <w:t xml:space="preserve"> roku</w:t>
      </w:r>
      <w:r w:rsidR="00EB5072" w:rsidRPr="00EB5072">
        <w:rPr>
          <w:b/>
          <w:sz w:val="32"/>
          <w:szCs w:val="32"/>
        </w:rPr>
        <w:t>?</w:t>
      </w:r>
    </w:p>
    <w:p w14:paraId="5AC173CB" w14:textId="436A4477" w:rsidR="00FF2104" w:rsidRDefault="00A2710D" w:rsidP="00FF2104">
      <w:pPr>
        <w:jc w:val="both"/>
        <w:rPr>
          <w:b/>
          <w:bCs/>
        </w:rPr>
      </w:pPr>
      <w:r>
        <w:rPr>
          <w:b/>
        </w:rPr>
        <w:t>Lipton</w:t>
      </w:r>
      <w:r w:rsidR="00BE2D63">
        <w:rPr>
          <w:b/>
        </w:rPr>
        <w:t xml:space="preserve"> i</w:t>
      </w:r>
      <w:r>
        <w:rPr>
          <w:b/>
        </w:rPr>
        <w:t xml:space="preserve"> Herbapol</w:t>
      </w:r>
      <w:r w:rsidR="00BE2D63">
        <w:rPr>
          <w:b/>
        </w:rPr>
        <w:t xml:space="preserve"> </w:t>
      </w:r>
      <w:r w:rsidR="00BE2D63" w:rsidRPr="00BE2D63">
        <w:rPr>
          <w:b/>
          <w:bCs/>
        </w:rPr>
        <w:t xml:space="preserve">- to właśnie te </w:t>
      </w:r>
      <w:r w:rsidR="00BE2D63" w:rsidRPr="00CA238B">
        <w:rPr>
          <w:b/>
          <w:bCs/>
        </w:rPr>
        <w:t>marki herbat najczęściej mogliśmy zobaczyć w sklepach w 2025 roku.</w:t>
      </w:r>
      <w:r w:rsidR="007A7B01" w:rsidRPr="00CA238B">
        <w:rPr>
          <w:b/>
          <w:bCs/>
        </w:rPr>
        <w:t xml:space="preserve"> </w:t>
      </w:r>
      <w:proofErr w:type="spellStart"/>
      <w:r w:rsidR="00BE2D63" w:rsidRPr="00CA238B">
        <w:rPr>
          <w:b/>
          <w:bCs/>
        </w:rPr>
        <w:t>eLeader</w:t>
      </w:r>
      <w:proofErr w:type="spellEnd"/>
      <w:r w:rsidR="00BE2D63" w:rsidRPr="00CA238B">
        <w:rPr>
          <w:b/>
          <w:bCs/>
        </w:rPr>
        <w:t xml:space="preserve">, spółka technologiczna specjalizująca się w dostarczaniu rozwiązań do wspierania sprzedaży, </w:t>
      </w:r>
      <w:r w:rsidR="007A7B01" w:rsidRPr="00CA238B">
        <w:rPr>
          <w:b/>
          <w:bCs/>
        </w:rPr>
        <w:t xml:space="preserve">przygotowała podsumowanie ekspozycji </w:t>
      </w:r>
      <w:r w:rsidR="003B3589" w:rsidRPr="00CA238B">
        <w:rPr>
          <w:b/>
          <w:bCs/>
        </w:rPr>
        <w:t xml:space="preserve">półkowej </w:t>
      </w:r>
      <w:r w:rsidR="00EA60BD">
        <w:rPr>
          <w:b/>
          <w:bCs/>
        </w:rPr>
        <w:t>tej kategorii</w:t>
      </w:r>
      <w:r w:rsidR="00CA238B" w:rsidRPr="00CA238B">
        <w:rPr>
          <w:b/>
          <w:bCs/>
        </w:rPr>
        <w:t xml:space="preserve"> </w:t>
      </w:r>
      <w:r w:rsidR="007A7B01" w:rsidRPr="00CA238B">
        <w:rPr>
          <w:b/>
          <w:bCs/>
        </w:rPr>
        <w:t xml:space="preserve">w </w:t>
      </w:r>
      <w:r w:rsidR="00267F61" w:rsidRPr="00CA238B">
        <w:rPr>
          <w:b/>
          <w:bCs/>
        </w:rPr>
        <w:t xml:space="preserve">minionym roku. Z analizy firmy wynika, że </w:t>
      </w:r>
      <w:r w:rsidR="00EA60BD">
        <w:rPr>
          <w:b/>
          <w:bCs/>
        </w:rPr>
        <w:t>segment ten</w:t>
      </w:r>
      <w:r w:rsidR="00267F61" w:rsidRPr="00CA238B">
        <w:rPr>
          <w:b/>
          <w:bCs/>
        </w:rPr>
        <w:t xml:space="preserve"> przez cały rok pozostawał bardzo stabiln</w:t>
      </w:r>
      <w:r w:rsidR="00EA60BD">
        <w:rPr>
          <w:b/>
          <w:bCs/>
        </w:rPr>
        <w:t>y</w:t>
      </w:r>
      <w:r w:rsidR="00267F61" w:rsidRPr="00CA238B">
        <w:rPr>
          <w:b/>
          <w:bCs/>
        </w:rPr>
        <w:t>, ale jednocześnie zróżnicowan</w:t>
      </w:r>
      <w:r w:rsidR="00EA60BD">
        <w:rPr>
          <w:b/>
          <w:bCs/>
        </w:rPr>
        <w:t>y</w:t>
      </w:r>
      <w:r w:rsidR="00267F61" w:rsidRPr="00CA238B">
        <w:rPr>
          <w:b/>
          <w:bCs/>
        </w:rPr>
        <w:t>. Jedynie niecałe 50 proc. półek zajm</w:t>
      </w:r>
      <w:r w:rsidR="00EA60BD">
        <w:rPr>
          <w:b/>
          <w:bCs/>
        </w:rPr>
        <w:t>owało</w:t>
      </w:r>
      <w:r w:rsidR="00CE291F">
        <w:rPr>
          <w:b/>
          <w:bCs/>
        </w:rPr>
        <w:t xml:space="preserve"> pięciu</w:t>
      </w:r>
      <w:r w:rsidR="00267F61" w:rsidRPr="00CA238B">
        <w:rPr>
          <w:b/>
          <w:bCs/>
        </w:rPr>
        <w:t xml:space="preserve"> najbardziej znanych producentów</w:t>
      </w:r>
      <w:r w:rsidR="00CA238B">
        <w:rPr>
          <w:b/>
          <w:bCs/>
        </w:rPr>
        <w:t>,</w:t>
      </w:r>
      <w:r w:rsidR="00EB5072" w:rsidRPr="00CA238B">
        <w:rPr>
          <w:b/>
          <w:bCs/>
        </w:rPr>
        <w:t xml:space="preserve"> pozostałą część ekspozycji stanow</w:t>
      </w:r>
      <w:r w:rsidR="00EA60BD">
        <w:rPr>
          <w:b/>
          <w:bCs/>
        </w:rPr>
        <w:t>iły</w:t>
      </w:r>
      <w:r w:rsidR="00EB5072" w:rsidRPr="00CA238B">
        <w:rPr>
          <w:b/>
          <w:bCs/>
        </w:rPr>
        <w:t xml:space="preserve"> małe marki</w:t>
      </w:r>
      <w:r w:rsidR="00267F61" w:rsidRPr="00CA238B">
        <w:rPr>
          <w:b/>
          <w:bCs/>
        </w:rPr>
        <w:t>.</w:t>
      </w:r>
    </w:p>
    <w:p w14:paraId="653F430B" w14:textId="58382F29" w:rsidR="002A4CB9" w:rsidRPr="00FF2104" w:rsidRDefault="00FF2104" w:rsidP="00FF2104">
      <w:pPr>
        <w:jc w:val="both"/>
        <w:rPr>
          <w:b/>
          <w:bCs/>
        </w:rPr>
      </w:pPr>
      <w:r>
        <w:rPr>
          <w:bCs/>
        </w:rPr>
        <w:t xml:space="preserve">Polacy kochają herbatę. Niemal połowa </w:t>
      </w:r>
      <w:r w:rsidR="003B3589">
        <w:rPr>
          <w:bCs/>
        </w:rPr>
        <w:t xml:space="preserve">z nas </w:t>
      </w:r>
      <w:r>
        <w:rPr>
          <w:bCs/>
        </w:rPr>
        <w:t>sięga po nią codziennie, bez względu na porę roku.</w:t>
      </w:r>
      <w:r w:rsidR="00C06A77">
        <w:rPr>
          <w:rStyle w:val="Odwoanieprzypisudolnego"/>
          <w:bCs/>
        </w:rPr>
        <w:footnoteReference w:id="1"/>
      </w:r>
      <w:r>
        <w:rPr>
          <w:bCs/>
        </w:rPr>
        <w:t xml:space="preserve"> </w:t>
      </w:r>
      <w:proofErr w:type="spellStart"/>
      <w:r w:rsidR="002A4CB9" w:rsidRPr="002A4CB9">
        <w:rPr>
          <w:bCs/>
        </w:rPr>
        <w:t>eLeader</w:t>
      </w:r>
      <w:proofErr w:type="spellEnd"/>
      <w:r w:rsidR="002A4CB9" w:rsidRPr="002A4CB9">
        <w:rPr>
          <w:bCs/>
        </w:rPr>
        <w:t>, korzystając</w:t>
      </w:r>
      <w:r w:rsidR="00893683">
        <w:rPr>
          <w:bCs/>
        </w:rPr>
        <w:t xml:space="preserve"> z </w:t>
      </w:r>
      <w:proofErr w:type="spellStart"/>
      <w:r w:rsidR="00893683" w:rsidRPr="002A4CB9">
        <w:rPr>
          <w:bCs/>
        </w:rPr>
        <w:t>Shelf</w:t>
      </w:r>
      <w:proofErr w:type="spellEnd"/>
      <w:r w:rsidR="00893683" w:rsidRPr="002A4CB9">
        <w:rPr>
          <w:bCs/>
        </w:rPr>
        <w:t xml:space="preserve"> </w:t>
      </w:r>
      <w:proofErr w:type="spellStart"/>
      <w:r w:rsidR="00893683" w:rsidRPr="002A4CB9">
        <w:rPr>
          <w:bCs/>
        </w:rPr>
        <w:t>Recognition</w:t>
      </w:r>
      <w:proofErr w:type="spellEnd"/>
      <w:r w:rsidR="00893683" w:rsidRPr="002A4CB9">
        <w:rPr>
          <w:bCs/>
        </w:rPr>
        <w:t xml:space="preserve"> AI</w:t>
      </w:r>
      <w:r w:rsidR="00893683">
        <w:rPr>
          <w:bCs/>
        </w:rPr>
        <w:t xml:space="preserve">, </w:t>
      </w:r>
      <w:r w:rsidR="002A4CB9" w:rsidRPr="002A4CB9">
        <w:rPr>
          <w:bCs/>
        </w:rPr>
        <w:t>swojego narzędzia do analizy ekspozycji</w:t>
      </w:r>
      <w:r w:rsidR="002A4CB9">
        <w:rPr>
          <w:bCs/>
        </w:rPr>
        <w:t>, sprawdził, jak</w:t>
      </w:r>
      <w:r w:rsidR="00C06A77">
        <w:rPr>
          <w:bCs/>
        </w:rPr>
        <w:t>ie marki i którzy producenci dominują na sklepowych półkach</w:t>
      </w:r>
      <w:r w:rsidR="002A4CB9">
        <w:rPr>
          <w:bCs/>
        </w:rPr>
        <w:t xml:space="preserve">. </w:t>
      </w:r>
      <w:r w:rsidR="002A4CB9" w:rsidRPr="002A4CB9">
        <w:rPr>
          <w:bCs/>
        </w:rPr>
        <w:t>Z badania wynika, że niezależnie od rodzaju sieci sklepów, przez cały</w:t>
      </w:r>
      <w:r w:rsidR="00C06A77">
        <w:rPr>
          <w:bCs/>
        </w:rPr>
        <w:t xml:space="preserve"> </w:t>
      </w:r>
      <w:r w:rsidR="00062409">
        <w:rPr>
          <w:bCs/>
        </w:rPr>
        <w:t xml:space="preserve">miniony </w:t>
      </w:r>
      <w:r w:rsidR="00C06A77">
        <w:rPr>
          <w:bCs/>
        </w:rPr>
        <w:t>rok</w:t>
      </w:r>
      <w:r w:rsidR="002A4CB9" w:rsidRPr="002A4CB9">
        <w:rPr>
          <w:bCs/>
        </w:rPr>
        <w:t xml:space="preserve"> </w:t>
      </w:r>
      <w:r w:rsidR="002A4CB9">
        <w:rPr>
          <w:bCs/>
        </w:rPr>
        <w:t>liderami</w:t>
      </w:r>
      <w:r w:rsidR="00CF5154">
        <w:rPr>
          <w:bCs/>
        </w:rPr>
        <w:t xml:space="preserve"> wśród </w:t>
      </w:r>
      <w:proofErr w:type="spellStart"/>
      <w:r w:rsidR="00CF5154">
        <w:rPr>
          <w:bCs/>
        </w:rPr>
        <w:t>brandów</w:t>
      </w:r>
      <w:proofErr w:type="spellEnd"/>
      <w:r w:rsidR="002A4CB9">
        <w:rPr>
          <w:bCs/>
        </w:rPr>
        <w:t xml:space="preserve"> </w:t>
      </w:r>
      <w:r w:rsidR="00EF16B2">
        <w:rPr>
          <w:bCs/>
        </w:rPr>
        <w:t>by</w:t>
      </w:r>
      <w:r w:rsidR="00C06A77">
        <w:rPr>
          <w:bCs/>
        </w:rPr>
        <w:t>li</w:t>
      </w:r>
      <w:r w:rsidR="00893683">
        <w:rPr>
          <w:bCs/>
        </w:rPr>
        <w:t xml:space="preserve"> </w:t>
      </w:r>
      <w:r w:rsidR="007A7B01">
        <w:rPr>
          <w:bCs/>
        </w:rPr>
        <w:t>Lipton i Herbapol</w:t>
      </w:r>
      <w:r w:rsidR="00893683">
        <w:rPr>
          <w:bCs/>
        </w:rPr>
        <w:t>,</w:t>
      </w:r>
      <w:r w:rsidR="00EF16B2">
        <w:rPr>
          <w:bCs/>
        </w:rPr>
        <w:t xml:space="preserve"> któr</w:t>
      </w:r>
      <w:r w:rsidR="00C06A77">
        <w:rPr>
          <w:bCs/>
        </w:rPr>
        <w:t xml:space="preserve">zy </w:t>
      </w:r>
      <w:r w:rsidR="007A7B01">
        <w:rPr>
          <w:bCs/>
        </w:rPr>
        <w:t>wspólnie</w:t>
      </w:r>
      <w:r w:rsidR="002675F9">
        <w:rPr>
          <w:bCs/>
        </w:rPr>
        <w:t xml:space="preserve"> </w:t>
      </w:r>
      <w:r w:rsidR="007A7B01">
        <w:rPr>
          <w:bCs/>
        </w:rPr>
        <w:t>zajmowa</w:t>
      </w:r>
      <w:r w:rsidR="00C06A77">
        <w:rPr>
          <w:bCs/>
        </w:rPr>
        <w:t xml:space="preserve">li </w:t>
      </w:r>
      <w:r w:rsidR="007A7B01">
        <w:rPr>
          <w:bCs/>
        </w:rPr>
        <w:t xml:space="preserve">średnio </w:t>
      </w:r>
      <w:r w:rsidR="00EF16B2">
        <w:rPr>
          <w:bCs/>
        </w:rPr>
        <w:t>jedną czwartą półek</w:t>
      </w:r>
      <w:r w:rsidR="007A7B01">
        <w:rPr>
          <w:bCs/>
        </w:rPr>
        <w:t>.</w:t>
      </w:r>
      <w:r w:rsidR="004041EC">
        <w:rPr>
          <w:bCs/>
        </w:rPr>
        <w:t xml:space="preserve"> </w:t>
      </w:r>
      <w:r w:rsidR="00CF5154">
        <w:rPr>
          <w:bCs/>
        </w:rPr>
        <w:t xml:space="preserve">Wspomniane marki </w:t>
      </w:r>
      <w:r w:rsidR="007A7B01">
        <w:rPr>
          <w:bCs/>
        </w:rPr>
        <w:t>pozostawi</w:t>
      </w:r>
      <w:r w:rsidR="00EF16B2">
        <w:rPr>
          <w:bCs/>
        </w:rPr>
        <w:t>ły</w:t>
      </w:r>
      <w:r w:rsidR="007A7B01">
        <w:rPr>
          <w:bCs/>
        </w:rPr>
        <w:t xml:space="preserve"> </w:t>
      </w:r>
      <w:r w:rsidR="00C06A77">
        <w:rPr>
          <w:bCs/>
        </w:rPr>
        <w:t>tym samym</w:t>
      </w:r>
      <w:r w:rsidR="007A7B01">
        <w:rPr>
          <w:bCs/>
        </w:rPr>
        <w:t xml:space="preserve"> dużą przestrzeń dla </w:t>
      </w:r>
      <w:r w:rsidR="00893683">
        <w:rPr>
          <w:bCs/>
        </w:rPr>
        <w:t xml:space="preserve">konkurencji. </w:t>
      </w:r>
      <w:r w:rsidR="00EF16B2">
        <w:rPr>
          <w:bCs/>
        </w:rPr>
        <w:t xml:space="preserve">Jednocześnie </w:t>
      </w:r>
      <w:r w:rsidR="00CE291F">
        <w:rPr>
          <w:bCs/>
        </w:rPr>
        <w:t>pięciu</w:t>
      </w:r>
      <w:r w:rsidR="00EF16B2">
        <w:rPr>
          <w:bCs/>
        </w:rPr>
        <w:t xml:space="preserve"> najbardziej znanych producentów zajmowało</w:t>
      </w:r>
      <w:r w:rsidR="00A315E2">
        <w:rPr>
          <w:bCs/>
        </w:rPr>
        <w:t xml:space="preserve"> </w:t>
      </w:r>
      <w:r w:rsidR="00EF16B2">
        <w:rPr>
          <w:bCs/>
        </w:rPr>
        <w:t>49,</w:t>
      </w:r>
      <w:r w:rsidR="005705DC">
        <w:rPr>
          <w:bCs/>
        </w:rPr>
        <w:t>48</w:t>
      </w:r>
      <w:r w:rsidR="00EF16B2">
        <w:rPr>
          <w:bCs/>
        </w:rPr>
        <w:t xml:space="preserve"> proc. ekspozycji</w:t>
      </w:r>
      <w:r w:rsidR="00857698" w:rsidRPr="00857698">
        <w:rPr>
          <w:bCs/>
        </w:rPr>
        <w:t xml:space="preserve"> </w:t>
      </w:r>
      <w:r w:rsidR="00857698">
        <w:rPr>
          <w:bCs/>
        </w:rPr>
        <w:t>w grudniu 2025</w:t>
      </w:r>
      <w:r w:rsidR="00EF16B2">
        <w:rPr>
          <w:bCs/>
        </w:rPr>
        <w:t xml:space="preserve">. </w:t>
      </w:r>
      <w:r w:rsidR="00893683">
        <w:rPr>
          <w:bCs/>
        </w:rPr>
        <w:t>T</w:t>
      </w:r>
      <w:r w:rsidR="002A4CB9" w:rsidRPr="002A4CB9">
        <w:rPr>
          <w:bCs/>
        </w:rPr>
        <w:t xml:space="preserve">aki </w:t>
      </w:r>
      <w:r w:rsidR="00EF16B2">
        <w:rPr>
          <w:bCs/>
        </w:rPr>
        <w:t>podział kategorii</w:t>
      </w:r>
      <w:r w:rsidR="007A7B01">
        <w:rPr>
          <w:bCs/>
        </w:rPr>
        <w:t xml:space="preserve"> </w:t>
      </w:r>
      <w:r w:rsidR="002A4CB9" w:rsidRPr="002A4CB9">
        <w:rPr>
          <w:bCs/>
        </w:rPr>
        <w:t>może świadczyć o dużej różnorodności oferty</w:t>
      </w:r>
      <w:r w:rsidR="00EF16B2">
        <w:rPr>
          <w:bCs/>
        </w:rPr>
        <w:t xml:space="preserve"> w sklepach. </w:t>
      </w:r>
    </w:p>
    <w:p w14:paraId="30C2A25D" w14:textId="664C6C38" w:rsidR="006B5316" w:rsidRDefault="000B5DEA" w:rsidP="007822CF">
      <w:pPr>
        <w:jc w:val="both"/>
      </w:pPr>
      <w:r w:rsidRPr="0090238F">
        <w:t>–</w:t>
      </w:r>
      <w:r>
        <w:t xml:space="preserve"> </w:t>
      </w:r>
      <w:r w:rsidR="007822CF" w:rsidRPr="007822CF">
        <w:rPr>
          <w:i/>
          <w:iCs/>
        </w:rPr>
        <w:t>W IV kwartale 2025 półka herbat w sieciach handlowych</w:t>
      </w:r>
      <w:r w:rsidR="00A315E2">
        <w:rPr>
          <w:i/>
          <w:iCs/>
        </w:rPr>
        <w:t xml:space="preserve"> także</w:t>
      </w:r>
      <w:r w:rsidR="007822CF" w:rsidRPr="007822CF">
        <w:rPr>
          <w:i/>
          <w:iCs/>
        </w:rPr>
        <w:t xml:space="preserve"> wyraźnie się rozszerzyła. Liczba unikalnych SKU</w:t>
      </w:r>
      <w:r w:rsidR="00A315E2">
        <w:rPr>
          <w:i/>
          <w:iCs/>
        </w:rPr>
        <w:t>, czyli wariantów produktów,</w:t>
      </w:r>
      <w:r w:rsidR="007822CF" w:rsidRPr="007822CF">
        <w:rPr>
          <w:i/>
          <w:iCs/>
        </w:rPr>
        <w:t xml:space="preserve"> wzrosła o 16 proc. rok do roku, co pokazuje intensywne przygotowanie sieci na sezon zimowy i świąteczno-prezentowy. Najdynamiczniej rosł</w:t>
      </w:r>
      <w:r w:rsidR="00A315E2">
        <w:rPr>
          <w:i/>
          <w:iCs/>
        </w:rPr>
        <w:t>a</w:t>
      </w:r>
      <w:r w:rsidR="00CE291F">
        <w:rPr>
          <w:i/>
          <w:iCs/>
        </w:rPr>
        <w:t xml:space="preserve"> na półce</w:t>
      </w:r>
      <w:r w:rsidR="007822CF" w:rsidRPr="007822CF">
        <w:rPr>
          <w:i/>
          <w:iCs/>
        </w:rPr>
        <w:t xml:space="preserve"> </w:t>
      </w:r>
      <w:r w:rsidR="00CE291F">
        <w:rPr>
          <w:i/>
          <w:iCs/>
        </w:rPr>
        <w:t>obecność</w:t>
      </w:r>
      <w:r w:rsidR="00A315E2">
        <w:rPr>
          <w:i/>
          <w:iCs/>
        </w:rPr>
        <w:t xml:space="preserve"> marek własnych</w:t>
      </w:r>
      <w:r w:rsidR="007822CF" w:rsidRPr="007822CF">
        <w:rPr>
          <w:i/>
          <w:iCs/>
        </w:rPr>
        <w:t xml:space="preserve"> – zwiększyła się o 24 proc., a </w:t>
      </w:r>
      <w:r w:rsidR="00E520B4">
        <w:rPr>
          <w:i/>
          <w:iCs/>
        </w:rPr>
        <w:t xml:space="preserve">ich </w:t>
      </w:r>
      <w:r w:rsidR="007822CF" w:rsidRPr="007822CF">
        <w:rPr>
          <w:i/>
          <w:iCs/>
        </w:rPr>
        <w:t>udział w ofercie przekroczył 26 proc.</w:t>
      </w:r>
      <w:r w:rsidR="00A315E2">
        <w:rPr>
          <w:i/>
          <w:iCs/>
        </w:rPr>
        <w:t xml:space="preserve"> Pokazuje to, że e</w:t>
      </w:r>
      <w:r w:rsidR="007822CF" w:rsidRPr="007822CF">
        <w:rPr>
          <w:i/>
          <w:iCs/>
        </w:rPr>
        <w:t>kspozycje odzwierciedlają zmieniające się oczekiwania konsumentów, którzy potrzebują zarówno klasyki jak i innowacyjnych propozycji</w:t>
      </w:r>
      <w:r w:rsidR="007822CF">
        <w:t xml:space="preserve"> </w:t>
      </w:r>
      <w:r w:rsidRPr="0090238F">
        <w:t>–</w:t>
      </w:r>
      <w:r w:rsidR="00AF4A8B">
        <w:t xml:space="preserve"> mówi</w:t>
      </w:r>
      <w:r w:rsidR="002675F9" w:rsidRPr="002675F9">
        <w:t xml:space="preserve"> Iwona Puchacz-</w:t>
      </w:r>
      <w:proofErr w:type="spellStart"/>
      <w:r w:rsidR="002675F9" w:rsidRPr="002675F9">
        <w:t>Wośko</w:t>
      </w:r>
      <w:proofErr w:type="spellEnd"/>
      <w:r w:rsidR="002675F9" w:rsidRPr="002675F9">
        <w:t xml:space="preserve">, analityk ekspozycji w </w:t>
      </w:r>
      <w:proofErr w:type="spellStart"/>
      <w:r w:rsidR="002675F9" w:rsidRPr="002675F9">
        <w:t>eLe</w:t>
      </w:r>
      <w:r w:rsidR="00CA238B">
        <w:t>ader</w:t>
      </w:r>
      <w:proofErr w:type="spellEnd"/>
      <w:r w:rsidR="00CA238B">
        <w:t xml:space="preserve">. </w:t>
      </w:r>
    </w:p>
    <w:p w14:paraId="547376E5" w14:textId="1865B85A" w:rsidR="00ED79D4" w:rsidRDefault="00ED79D4" w:rsidP="00ED79D4">
      <w:pPr>
        <w:jc w:val="both"/>
        <w:rPr>
          <w:lang w:val="en-US"/>
        </w:rPr>
      </w:pPr>
      <w:r w:rsidRPr="00ED79D4">
        <w:rPr>
          <w:lang w:val="en-US"/>
        </w:rPr>
        <w:drawing>
          <wp:inline distT="0" distB="0" distL="0" distR="0" wp14:anchorId="47E91911" wp14:editId="29360F10">
            <wp:extent cx="4143375" cy="2762250"/>
            <wp:effectExtent l="0" t="0" r="9525" b="0"/>
            <wp:docPr id="10806967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674" cy="2762449"/>
                    </a:xfrm>
                    <a:prstGeom prst="rect">
                      <a:avLst/>
                    </a:prstGeom>
                    <a:noFill/>
                    <a:ln>
                      <a:noFill/>
                    </a:ln>
                  </pic:spPr>
                </pic:pic>
              </a:graphicData>
            </a:graphic>
          </wp:inline>
        </w:drawing>
      </w:r>
    </w:p>
    <w:p w14:paraId="7B55021D" w14:textId="00B3B6DB" w:rsidR="00ED79D4" w:rsidRPr="00ED79D4" w:rsidRDefault="00ED79D4" w:rsidP="00ED79D4">
      <w:pPr>
        <w:jc w:val="both"/>
        <w:rPr>
          <w:i/>
          <w:iCs/>
          <w:sz w:val="20"/>
          <w:szCs w:val="20"/>
        </w:rPr>
      </w:pPr>
      <w:r w:rsidRPr="00ED79D4">
        <w:rPr>
          <w:i/>
          <w:iCs/>
          <w:sz w:val="20"/>
          <w:szCs w:val="20"/>
        </w:rPr>
        <w:t>Adobe Stock, Półka z herbatami</w:t>
      </w:r>
    </w:p>
    <w:p w14:paraId="6922C031" w14:textId="77777777" w:rsidR="00ED79D4" w:rsidRPr="007822CF" w:rsidRDefault="00ED79D4" w:rsidP="007822CF">
      <w:pPr>
        <w:jc w:val="both"/>
      </w:pPr>
    </w:p>
    <w:p w14:paraId="6118FE7D" w14:textId="021D6A1F" w:rsidR="005C2F15" w:rsidRPr="006E31BD" w:rsidRDefault="00000000" w:rsidP="006E31BD">
      <w:pPr>
        <w:jc w:val="both"/>
      </w:pPr>
      <w:r w:rsidRPr="006E31BD">
        <w:t xml:space="preserve">Na uwagę zasługuje również obecność </w:t>
      </w:r>
      <w:proofErr w:type="spellStart"/>
      <w:r w:rsidRPr="006E31BD">
        <w:t>yerba</w:t>
      </w:r>
      <w:proofErr w:type="spellEnd"/>
      <w:r w:rsidRPr="006E31BD">
        <w:t xml:space="preserve"> mate na półce z herbatami – to wciąż relatywnie nowy element tej kategorii w nowoczesnym handlu. Dotychczas funkcjonująca głównie jako segment niszowy, dziś coraz wyraźniej zaznacza swoją obecność w obrębie klasycznej półki herbacianej. </w:t>
      </w:r>
      <w:r w:rsidR="00E10EE9" w:rsidRPr="006E31BD">
        <w:t xml:space="preserve">Na półkach z herbatami w badanych sieciach sklepów w 2025 roku </w:t>
      </w:r>
      <w:r w:rsidR="0000703C" w:rsidRPr="006E31BD">
        <w:t>pojawiło się</w:t>
      </w:r>
      <w:r w:rsidR="00E10EE9" w:rsidRPr="006E31BD">
        <w:t xml:space="preserve"> 35 unikalnych produktów (SKU)</w:t>
      </w:r>
      <w:r w:rsidR="00866B4C" w:rsidRPr="006E31BD">
        <w:t xml:space="preserve"> z segmentu </w:t>
      </w:r>
      <w:proofErr w:type="spellStart"/>
      <w:r w:rsidR="00866B4C" w:rsidRPr="006E31BD">
        <w:t>yerba</w:t>
      </w:r>
      <w:proofErr w:type="spellEnd"/>
      <w:r w:rsidR="00866B4C" w:rsidRPr="006E31BD">
        <w:t xml:space="preserve"> mate,</w:t>
      </w:r>
      <w:r w:rsidR="00E10EE9" w:rsidRPr="006E31BD">
        <w:t xml:space="preserve"> reprezentujących 15 marek</w:t>
      </w:r>
      <w:r w:rsidR="00866B4C" w:rsidRPr="006E31BD">
        <w:t>.</w:t>
      </w:r>
      <w:r w:rsidR="00E10EE9" w:rsidRPr="006E31BD">
        <w:t xml:space="preserve"> </w:t>
      </w:r>
    </w:p>
    <w:p w14:paraId="6ACFA69E" w14:textId="1E2BA019" w:rsidR="00B518FE" w:rsidRPr="00922670" w:rsidRDefault="00EF004E" w:rsidP="00704E46">
      <w:pPr>
        <w:jc w:val="both"/>
        <w:rPr>
          <w:b/>
        </w:rPr>
      </w:pPr>
      <w:r>
        <w:rPr>
          <w:b/>
        </w:rPr>
        <w:t xml:space="preserve">Sklepowa półka z herbatami </w:t>
      </w:r>
      <w:r w:rsidR="00CA238B">
        <w:rPr>
          <w:b/>
        </w:rPr>
        <w:t xml:space="preserve">- </w:t>
      </w:r>
      <w:r w:rsidR="00CA238B" w:rsidRPr="00CA238B">
        <w:rPr>
          <w:b/>
        </w:rPr>
        <w:t>stabilna i zróżnicowana</w:t>
      </w:r>
    </w:p>
    <w:p w14:paraId="773815EC" w14:textId="6F164474" w:rsidR="00394A94" w:rsidRPr="00394A94" w:rsidRDefault="00B229D5" w:rsidP="000A4621">
      <w:pPr>
        <w:jc w:val="both"/>
      </w:pPr>
      <w:r>
        <w:t>Badanie półki</w:t>
      </w:r>
      <w:r w:rsidR="00AF4A8B">
        <w:t xml:space="preserve"> </w:t>
      </w:r>
      <w:r>
        <w:t>z herbatami</w:t>
      </w:r>
      <w:r w:rsidRPr="00B229D5">
        <w:t xml:space="preserve"> </w:t>
      </w:r>
      <w:r w:rsidR="00A90C26">
        <w:t xml:space="preserve">w </w:t>
      </w:r>
      <w:r w:rsidR="00A90C26" w:rsidRPr="00A90C26">
        <w:t>kontekście reprezentacji</w:t>
      </w:r>
      <w:r w:rsidRPr="00B229D5">
        <w:t xml:space="preserve"> </w:t>
      </w:r>
      <w:proofErr w:type="spellStart"/>
      <w:r w:rsidRPr="00B229D5">
        <w:t>brandów</w:t>
      </w:r>
      <w:proofErr w:type="spellEnd"/>
      <w:r w:rsidRPr="00B229D5">
        <w:t xml:space="preserve"> </w:t>
      </w:r>
      <w:r>
        <w:t>pokazuje, że</w:t>
      </w:r>
      <w:r w:rsidRPr="00B229D5">
        <w:t xml:space="preserve"> </w:t>
      </w:r>
      <w:r w:rsidR="00AF4A8B">
        <w:t>niekwestionowanym liderem ekspozycji pozostaje Lipton, któr</w:t>
      </w:r>
      <w:r w:rsidR="00A90C26">
        <w:t>y</w:t>
      </w:r>
      <w:r w:rsidR="00AF4A8B">
        <w:t xml:space="preserve"> konsekwentnie buduje swoją przewagę</w:t>
      </w:r>
      <w:r w:rsidR="00A90C26">
        <w:t xml:space="preserve"> nad pozostałymi markami</w:t>
      </w:r>
      <w:r w:rsidR="00A8669B">
        <w:t>.</w:t>
      </w:r>
      <w:r w:rsidR="00EE0B11">
        <w:t xml:space="preserve"> W grudniu 2025</w:t>
      </w:r>
      <w:r w:rsidR="00A90C26">
        <w:t xml:space="preserve"> </w:t>
      </w:r>
      <w:proofErr w:type="spellStart"/>
      <w:r w:rsidR="00A90C26">
        <w:t>brand</w:t>
      </w:r>
      <w:proofErr w:type="spellEnd"/>
      <w:r w:rsidR="00A8669B">
        <w:t xml:space="preserve"> </w:t>
      </w:r>
      <w:r w:rsidR="00EE0B11">
        <w:t>zajmował 15,6 proc</w:t>
      </w:r>
      <w:r w:rsidR="00A90C26">
        <w:t>.</w:t>
      </w:r>
      <w:r w:rsidR="00A8669B">
        <w:t xml:space="preserve"> ekspozycji</w:t>
      </w:r>
      <w:r w:rsidR="000A4621">
        <w:t xml:space="preserve">, a </w:t>
      </w:r>
      <w:r w:rsidR="00EE0B11">
        <w:t>w s</w:t>
      </w:r>
      <w:r w:rsidR="00AF4A8B">
        <w:t xml:space="preserve">kali roku wzmocnił swoją widoczność, zwiększając udział </w:t>
      </w:r>
      <w:r w:rsidR="00A8669B">
        <w:t>w półce</w:t>
      </w:r>
      <w:r w:rsidR="005E7284">
        <w:t xml:space="preserve"> </w:t>
      </w:r>
      <w:r w:rsidR="00AF4A8B">
        <w:t>o niemal 1 punkt procentowy.</w:t>
      </w:r>
      <w:r w:rsidR="00A315E2">
        <w:t xml:space="preserve"> </w:t>
      </w:r>
      <w:r w:rsidR="00AF4A8B">
        <w:t>Drugą najsilniej eksponowaną marką pozostaje Herbapol z wynikiem 9,8 proc.</w:t>
      </w:r>
      <w:r w:rsidR="00EE0B11">
        <w:t xml:space="preserve"> w grudniu,</w:t>
      </w:r>
      <w:r w:rsidR="00AF4A8B">
        <w:t xml:space="preserve"> skutecznie utrzymując mocną pozycję</w:t>
      </w:r>
      <w:r w:rsidR="005E7284">
        <w:t xml:space="preserve"> przez cały rok</w:t>
      </w:r>
      <w:r w:rsidR="00AF4A8B">
        <w:t>.</w:t>
      </w:r>
      <w:r w:rsidR="00EE0B11">
        <w:t xml:space="preserve"> </w:t>
      </w:r>
      <w:r w:rsidR="00A76E68">
        <w:t>N</w:t>
      </w:r>
      <w:r w:rsidR="00EE0B11">
        <w:t>ajbardziej widoczna</w:t>
      </w:r>
      <w:r w:rsidR="004041EC">
        <w:t xml:space="preserve"> na półce</w:t>
      </w:r>
      <w:r w:rsidR="00A76E68">
        <w:t xml:space="preserve"> była</w:t>
      </w:r>
      <w:r w:rsidR="00EE0B11">
        <w:t xml:space="preserve"> wiosną, kiedy jej udziały przekraczały 10 proc. </w:t>
      </w:r>
      <w:r w:rsidR="00AF4A8B">
        <w:t>Wśród</w:t>
      </w:r>
      <w:r w:rsidR="00490E84">
        <w:t xml:space="preserve"> najlepiej wyeksponowanych</w:t>
      </w:r>
      <w:r w:rsidR="00AF4A8B">
        <w:t xml:space="preserve"> marek są także </w:t>
      </w:r>
      <w:proofErr w:type="spellStart"/>
      <w:r w:rsidR="00AF4A8B">
        <w:t>Teekanne</w:t>
      </w:r>
      <w:proofErr w:type="spellEnd"/>
      <w:r w:rsidR="00AF4A8B">
        <w:t>,</w:t>
      </w:r>
      <w:r>
        <w:t xml:space="preserve"> </w:t>
      </w:r>
      <w:proofErr w:type="spellStart"/>
      <w:r>
        <w:t>Bifix</w:t>
      </w:r>
      <w:proofErr w:type="spellEnd"/>
      <w:r w:rsidR="00AF4A8B">
        <w:t xml:space="preserve">, Big-Active oraz </w:t>
      </w:r>
      <w:proofErr w:type="spellStart"/>
      <w:r w:rsidR="00AF4A8B">
        <w:t>Dilmah</w:t>
      </w:r>
      <w:proofErr w:type="spellEnd"/>
      <w:r w:rsidR="00AF4A8B">
        <w:t>, których udziały w ekspozycji utrzymywały się na stabilnym, porównywalnym poziomie 5</w:t>
      </w:r>
      <w:r w:rsidR="00CA238B">
        <w:t>-</w:t>
      </w:r>
      <w:r w:rsidR="00AF4A8B">
        <w:t xml:space="preserve">6 proc. Na tle tej grupy najbardziej dynamiczny wzrost odnotowała marka </w:t>
      </w:r>
      <w:proofErr w:type="spellStart"/>
      <w:r w:rsidR="00AF4A8B">
        <w:t>Teekanne</w:t>
      </w:r>
      <w:proofErr w:type="spellEnd"/>
      <w:r w:rsidR="00AF4A8B">
        <w:t xml:space="preserve">, </w:t>
      </w:r>
      <w:r w:rsidR="00CA238B">
        <w:t xml:space="preserve">która </w:t>
      </w:r>
      <w:r w:rsidR="000A4621">
        <w:t xml:space="preserve">w ciągu </w:t>
      </w:r>
      <w:r w:rsidR="00866B4C" w:rsidRPr="004041EC">
        <w:t>roku</w:t>
      </w:r>
      <w:r w:rsidR="00866B4C">
        <w:t xml:space="preserve"> </w:t>
      </w:r>
      <w:r w:rsidR="00CA238B">
        <w:t>zwiększyła</w:t>
      </w:r>
      <w:r w:rsidR="00AF4A8B">
        <w:t xml:space="preserve"> swój udział półkowy o niemal 1 punkt procentowy, poprawiając swoją pozycję w segmencie.</w:t>
      </w:r>
    </w:p>
    <w:p w14:paraId="46227D82" w14:textId="09603250" w:rsidR="00605359" w:rsidRDefault="00605359" w:rsidP="005E7284">
      <w:pPr>
        <w:jc w:val="both"/>
      </w:pPr>
      <w:r>
        <w:t xml:space="preserve">W hipermarketach oferta herbat była bardziej </w:t>
      </w:r>
      <w:r w:rsidR="00CA238B">
        <w:t xml:space="preserve">zróżnicowana </w:t>
      </w:r>
      <w:r w:rsidR="00CA238B" w:rsidRPr="00CA238B">
        <w:t>w porównaniu z pozostałymi kategoriami sklepów</w:t>
      </w:r>
      <w:r>
        <w:t xml:space="preserve">. Marki </w:t>
      </w:r>
      <w:proofErr w:type="spellStart"/>
      <w:r>
        <w:t>Teekanne</w:t>
      </w:r>
      <w:proofErr w:type="spellEnd"/>
      <w:r>
        <w:t xml:space="preserve">, </w:t>
      </w:r>
      <w:proofErr w:type="spellStart"/>
      <w:r>
        <w:t>Bifix</w:t>
      </w:r>
      <w:proofErr w:type="spellEnd"/>
      <w:r>
        <w:t xml:space="preserve">, Big-Active oraz </w:t>
      </w:r>
      <w:proofErr w:type="spellStart"/>
      <w:r>
        <w:t>Dilmah</w:t>
      </w:r>
      <w:proofErr w:type="spellEnd"/>
      <w:r>
        <w:t xml:space="preserve"> miały tam średnio o około 1 punkt procentowy większy udział w przestrzeni półkowej, co oznacza, że były lepiej widoczne i częściej dostępne dla klientów. Jednocześnie </w:t>
      </w:r>
      <w:r w:rsidR="005E7284">
        <w:t>największe brandy</w:t>
      </w:r>
      <w:r>
        <w:t>, czyli Lipton i Herbapol, osiąg</w:t>
      </w:r>
      <w:r w:rsidR="000A17A0">
        <w:t>ały</w:t>
      </w:r>
      <w:r>
        <w:t xml:space="preserve"> w tym kanale nieco niższe wyniki – ich udziały były mniejsze o mniej niż 1 punkt procentowy w porównaniu ze średnią dla wszystkich sklepów.</w:t>
      </w:r>
      <w:r w:rsidR="005E7284">
        <w:t xml:space="preserve"> </w:t>
      </w:r>
      <w:r>
        <w:t xml:space="preserve">Inaczej wyglądała sytuacja w dyskontach. </w:t>
      </w:r>
      <w:r w:rsidR="00401941">
        <w:t>Tam przez</w:t>
      </w:r>
      <w:r>
        <w:t xml:space="preserve"> cały rok zdecydowanie dominował Lipton, któr</w:t>
      </w:r>
      <w:r w:rsidR="00401941">
        <w:t>ego udziały rosły przez cały rok. W styczniu zajmował jeszcze 14,3 proc. półek z herbatą, a</w:t>
      </w:r>
      <w:r>
        <w:t xml:space="preserve"> </w:t>
      </w:r>
      <w:r w:rsidR="000A4621">
        <w:t>w grudniu</w:t>
      </w:r>
      <w:r w:rsidR="00401941">
        <w:t xml:space="preserve"> już </w:t>
      </w:r>
      <w:r>
        <w:t xml:space="preserve">aż 17,1 proc. </w:t>
      </w:r>
      <w:r w:rsidR="005705DC">
        <w:t>Zmniejszyła się jednak widoczność</w:t>
      </w:r>
      <w:r w:rsidR="00EF78DA">
        <w:t xml:space="preserve"> Herbapol </w:t>
      </w:r>
      <w:r w:rsidR="005705DC">
        <w:t>z 9,8 proc. w styczniu do 8,4 proc</w:t>
      </w:r>
      <w:r w:rsidR="00EF78DA">
        <w:t xml:space="preserve">. </w:t>
      </w:r>
      <w:r w:rsidR="005705DC">
        <w:t xml:space="preserve">w grudniu. </w:t>
      </w:r>
      <w:r>
        <w:t>Pozostałe marki były w tym kanale słabiej widoczne niż w hipermarketach, ponieważ oferta dyskontów jest zwykle bardziej ograniczona. W efekcie większą obecność budowały tam inne</w:t>
      </w:r>
      <w:r w:rsidR="005E7284">
        <w:t xml:space="preserve"> brandy</w:t>
      </w:r>
      <w:r>
        <w:t xml:space="preserve">, takie jak TET, LOYD oraz Minutka, które częściej pojawiały się na półkach zamiast </w:t>
      </w:r>
      <w:proofErr w:type="spellStart"/>
      <w:r>
        <w:t>Bifix</w:t>
      </w:r>
      <w:proofErr w:type="spellEnd"/>
      <w:r>
        <w:t xml:space="preserve">, Big-Active czy </w:t>
      </w:r>
      <w:proofErr w:type="spellStart"/>
      <w:r>
        <w:t>Dilmah</w:t>
      </w:r>
      <w:proofErr w:type="spellEnd"/>
      <w:r>
        <w:t>.</w:t>
      </w:r>
    </w:p>
    <w:p w14:paraId="12004739" w14:textId="54B312F7" w:rsidR="0066624F" w:rsidRPr="0066624F" w:rsidRDefault="006E31BD" w:rsidP="006E31BD">
      <w:pPr>
        <w:jc w:val="both"/>
        <w:rPr>
          <w:noProof/>
          <w:lang w:val="en-US" w:eastAsia="pl-PL"/>
        </w:rPr>
      </w:pPr>
      <w:r w:rsidRPr="006E31BD">
        <w:rPr>
          <w:noProof/>
          <w:lang w:val="en-US" w:eastAsia="pl-PL"/>
        </w:rPr>
        <w:drawing>
          <wp:inline distT="0" distB="0" distL="0" distR="0" wp14:anchorId="25FE56B8" wp14:editId="7739AF48">
            <wp:extent cx="4819650" cy="2711053"/>
            <wp:effectExtent l="0" t="0" r="0" b="0"/>
            <wp:docPr id="112416766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6670" cy="2720627"/>
                    </a:xfrm>
                    <a:prstGeom prst="rect">
                      <a:avLst/>
                    </a:prstGeom>
                    <a:noFill/>
                    <a:ln>
                      <a:noFill/>
                    </a:ln>
                  </pic:spPr>
                </pic:pic>
              </a:graphicData>
            </a:graphic>
          </wp:inline>
        </w:drawing>
      </w:r>
    </w:p>
    <w:p w14:paraId="52E58C99" w14:textId="191106FE" w:rsidR="00EC5ADD" w:rsidRPr="0066624F" w:rsidRDefault="00EC5ADD" w:rsidP="0066624F">
      <w:pPr>
        <w:jc w:val="both"/>
      </w:pPr>
      <w:r w:rsidRPr="009070C9">
        <w:rPr>
          <w:noProof/>
        </w:rPr>
        <w:t xml:space="preserve"> </w:t>
      </w:r>
      <w:proofErr w:type="spellStart"/>
      <w:r w:rsidRPr="00043EE1">
        <w:rPr>
          <w:i/>
          <w:iCs/>
          <w:sz w:val="20"/>
          <w:szCs w:val="20"/>
        </w:rPr>
        <w:t>eLeader</w:t>
      </w:r>
      <w:proofErr w:type="spellEnd"/>
      <w:r w:rsidRPr="00043EE1">
        <w:rPr>
          <w:i/>
          <w:iCs/>
          <w:sz w:val="20"/>
          <w:szCs w:val="20"/>
        </w:rPr>
        <w:t>, Udziały</w:t>
      </w:r>
      <w:r w:rsidR="00F568B9">
        <w:rPr>
          <w:i/>
          <w:iCs/>
          <w:sz w:val="20"/>
          <w:szCs w:val="20"/>
        </w:rPr>
        <w:t xml:space="preserve"> marek</w:t>
      </w:r>
      <w:r w:rsidRPr="00043EE1">
        <w:rPr>
          <w:i/>
          <w:iCs/>
          <w:sz w:val="20"/>
          <w:szCs w:val="20"/>
        </w:rPr>
        <w:t xml:space="preserve"> w </w:t>
      </w:r>
      <w:r>
        <w:rPr>
          <w:i/>
          <w:iCs/>
          <w:sz w:val="20"/>
          <w:szCs w:val="20"/>
        </w:rPr>
        <w:t xml:space="preserve">sklepowej ekspozycji </w:t>
      </w:r>
      <w:r w:rsidRPr="00043EE1">
        <w:rPr>
          <w:i/>
          <w:iCs/>
          <w:sz w:val="20"/>
          <w:szCs w:val="20"/>
        </w:rPr>
        <w:t xml:space="preserve">w kategorii </w:t>
      </w:r>
      <w:r w:rsidR="005B4F12">
        <w:rPr>
          <w:i/>
          <w:iCs/>
          <w:sz w:val="20"/>
          <w:szCs w:val="20"/>
        </w:rPr>
        <w:t>herbat</w:t>
      </w:r>
      <w:r w:rsidR="006E31BD">
        <w:rPr>
          <w:i/>
          <w:iCs/>
          <w:sz w:val="20"/>
          <w:szCs w:val="20"/>
        </w:rPr>
        <w:t xml:space="preserve"> Q4 2024 i</w:t>
      </w:r>
      <w:r>
        <w:rPr>
          <w:i/>
          <w:iCs/>
          <w:sz w:val="20"/>
          <w:szCs w:val="20"/>
        </w:rPr>
        <w:t xml:space="preserve"> </w:t>
      </w:r>
      <w:r w:rsidR="005B4F12">
        <w:rPr>
          <w:i/>
          <w:iCs/>
          <w:sz w:val="20"/>
          <w:szCs w:val="20"/>
        </w:rPr>
        <w:t>2025 roku</w:t>
      </w:r>
    </w:p>
    <w:p w14:paraId="23A35433" w14:textId="6941325C" w:rsidR="00CD72CE" w:rsidRPr="00922670" w:rsidRDefault="00CA238B" w:rsidP="00CD72CE">
      <w:pPr>
        <w:jc w:val="both"/>
        <w:rPr>
          <w:b/>
        </w:rPr>
      </w:pPr>
      <w:r>
        <w:rPr>
          <w:b/>
        </w:rPr>
        <w:lastRenderedPageBreak/>
        <w:t>Ekspozycja producentów</w:t>
      </w:r>
      <w:r w:rsidR="004F6047">
        <w:rPr>
          <w:b/>
        </w:rPr>
        <w:t xml:space="preserve"> herbat</w:t>
      </w:r>
      <w:r>
        <w:rPr>
          <w:b/>
        </w:rPr>
        <w:t xml:space="preserve"> </w:t>
      </w:r>
      <w:r w:rsidR="004F6047">
        <w:rPr>
          <w:b/>
        </w:rPr>
        <w:t>w sklepach</w:t>
      </w:r>
    </w:p>
    <w:p w14:paraId="3777666D" w14:textId="18ED0CEA" w:rsidR="004F6047" w:rsidRDefault="00586B72" w:rsidP="00BA7C84">
      <w:pPr>
        <w:jc w:val="both"/>
        <w:rPr>
          <w:bCs/>
        </w:rPr>
      </w:pPr>
      <w:r>
        <w:rPr>
          <w:bCs/>
        </w:rPr>
        <w:t>W analizie półek</w:t>
      </w:r>
      <w:r w:rsidR="00490E84">
        <w:rPr>
          <w:bCs/>
        </w:rPr>
        <w:t xml:space="preserve"> z herbatą</w:t>
      </w:r>
      <w:r>
        <w:rPr>
          <w:bCs/>
        </w:rPr>
        <w:t xml:space="preserve"> pod</w:t>
      </w:r>
      <w:r w:rsidR="00490E84">
        <w:rPr>
          <w:bCs/>
        </w:rPr>
        <w:t xml:space="preserve"> kątem</w:t>
      </w:r>
      <w:r>
        <w:rPr>
          <w:bCs/>
        </w:rPr>
        <w:t xml:space="preserve"> obecności producentów </w:t>
      </w:r>
      <w:r w:rsidR="00F1033B" w:rsidRPr="00F1033B">
        <w:rPr>
          <w:bCs/>
        </w:rPr>
        <w:t>widoczna jest nieco większa koncentracja ekspozycji w rękach liderów</w:t>
      </w:r>
      <w:r>
        <w:rPr>
          <w:bCs/>
        </w:rPr>
        <w:t xml:space="preserve">. Herbapol i Lipton </w:t>
      </w:r>
      <w:r w:rsidR="000A4621">
        <w:rPr>
          <w:bCs/>
        </w:rPr>
        <w:t>w grudniu 2025 zajmowali wspólnie</w:t>
      </w:r>
      <w:r>
        <w:rPr>
          <w:bCs/>
        </w:rPr>
        <w:t xml:space="preserve"> </w:t>
      </w:r>
      <w:r w:rsidR="000A4621">
        <w:rPr>
          <w:bCs/>
        </w:rPr>
        <w:t>33</w:t>
      </w:r>
      <w:r>
        <w:rPr>
          <w:bCs/>
        </w:rPr>
        <w:t>,</w:t>
      </w:r>
      <w:r w:rsidR="000A4621">
        <w:rPr>
          <w:bCs/>
        </w:rPr>
        <w:t>22</w:t>
      </w:r>
      <w:r>
        <w:rPr>
          <w:bCs/>
        </w:rPr>
        <w:t xml:space="preserve"> proc. Jednocześnie ich </w:t>
      </w:r>
      <w:r w:rsidR="005E7284">
        <w:rPr>
          <w:bCs/>
        </w:rPr>
        <w:t>pozycja niemal wyrównuje się</w:t>
      </w:r>
      <w:r>
        <w:rPr>
          <w:bCs/>
        </w:rPr>
        <w:t xml:space="preserve"> - </w:t>
      </w:r>
      <w:r w:rsidR="008D6BAF">
        <w:rPr>
          <w:bCs/>
        </w:rPr>
        <w:t xml:space="preserve">obie firmy </w:t>
      </w:r>
      <w:r w:rsidR="00F568B9">
        <w:rPr>
          <w:bCs/>
        </w:rPr>
        <w:t xml:space="preserve">średnio </w:t>
      </w:r>
      <w:r w:rsidR="004F6047">
        <w:rPr>
          <w:bCs/>
        </w:rPr>
        <w:t>zajm</w:t>
      </w:r>
      <w:r w:rsidR="00F568B9">
        <w:rPr>
          <w:bCs/>
        </w:rPr>
        <w:t>owały</w:t>
      </w:r>
      <w:r w:rsidR="004F6047">
        <w:rPr>
          <w:bCs/>
        </w:rPr>
        <w:t xml:space="preserve"> </w:t>
      </w:r>
      <w:r w:rsidR="00F568B9">
        <w:rPr>
          <w:bCs/>
        </w:rPr>
        <w:t>ponad 16 proc. ekspozycji herbat. Niemal</w:t>
      </w:r>
      <w:r w:rsidR="009F31C6">
        <w:rPr>
          <w:bCs/>
        </w:rPr>
        <w:t xml:space="preserve"> taki sam wynik odnotowały</w:t>
      </w:r>
      <w:r w:rsidR="00F568B9">
        <w:rPr>
          <w:bCs/>
        </w:rPr>
        <w:t xml:space="preserve"> w hipermarketach. Natomiast w dyskontach częściej na półkach można było zobaczyć</w:t>
      </w:r>
      <w:r w:rsidR="009F31C6">
        <w:rPr>
          <w:bCs/>
        </w:rPr>
        <w:t xml:space="preserve"> produkty</w:t>
      </w:r>
      <w:r w:rsidR="00F568B9">
        <w:rPr>
          <w:bCs/>
        </w:rPr>
        <w:t xml:space="preserve"> Lipton, któr</w:t>
      </w:r>
      <w:r w:rsidR="009F31C6">
        <w:rPr>
          <w:bCs/>
        </w:rPr>
        <w:t>e</w:t>
      </w:r>
      <w:r w:rsidR="00F568B9">
        <w:rPr>
          <w:bCs/>
        </w:rPr>
        <w:t xml:space="preserve"> </w:t>
      </w:r>
      <w:r w:rsidR="000D59A1">
        <w:rPr>
          <w:bCs/>
        </w:rPr>
        <w:t xml:space="preserve">w grudniu </w:t>
      </w:r>
      <w:r w:rsidR="00F568B9">
        <w:rPr>
          <w:bCs/>
        </w:rPr>
        <w:t>zajmował</w:t>
      </w:r>
      <w:r w:rsidR="009F31C6">
        <w:rPr>
          <w:bCs/>
        </w:rPr>
        <w:t>y</w:t>
      </w:r>
      <w:r w:rsidR="00F568B9">
        <w:rPr>
          <w:bCs/>
        </w:rPr>
        <w:t xml:space="preserve"> tam aż 18,6 proc. półek, podczas gdy </w:t>
      </w:r>
      <w:r w:rsidR="009F31C6">
        <w:rPr>
          <w:bCs/>
        </w:rPr>
        <w:t xml:space="preserve">te od </w:t>
      </w:r>
      <w:r w:rsidR="00F568B9">
        <w:rPr>
          <w:bCs/>
        </w:rPr>
        <w:t>Herbapol</w:t>
      </w:r>
      <w:r w:rsidR="009F31C6">
        <w:rPr>
          <w:bCs/>
        </w:rPr>
        <w:t>u</w:t>
      </w:r>
      <w:r w:rsidR="00F568B9">
        <w:rPr>
          <w:bCs/>
        </w:rPr>
        <w:t xml:space="preserve"> </w:t>
      </w:r>
      <w:r w:rsidR="00515373">
        <w:rPr>
          <w:bCs/>
        </w:rPr>
        <w:t>już</w:t>
      </w:r>
      <w:r w:rsidR="009F31C6">
        <w:rPr>
          <w:bCs/>
        </w:rPr>
        <w:t xml:space="preserve"> tylko</w:t>
      </w:r>
      <w:r w:rsidR="00515373">
        <w:rPr>
          <w:bCs/>
        </w:rPr>
        <w:t xml:space="preserve"> 10 proc. Spośród producentów herbat</w:t>
      </w:r>
      <w:r w:rsidR="009F31C6">
        <w:rPr>
          <w:bCs/>
        </w:rPr>
        <w:t xml:space="preserve"> na ekspozycji</w:t>
      </w:r>
      <w:r w:rsidR="00515373">
        <w:rPr>
          <w:bCs/>
        </w:rPr>
        <w:t xml:space="preserve"> </w:t>
      </w:r>
      <w:r w:rsidR="008D6BAF">
        <w:rPr>
          <w:bCs/>
        </w:rPr>
        <w:t>wyróżniła się też firma</w:t>
      </w:r>
      <w:r w:rsidR="00515373">
        <w:rPr>
          <w:bCs/>
        </w:rPr>
        <w:t xml:space="preserve"> </w:t>
      </w:r>
      <w:proofErr w:type="spellStart"/>
      <w:r w:rsidR="00F568B9">
        <w:rPr>
          <w:bCs/>
        </w:rPr>
        <w:t>Teekanne</w:t>
      </w:r>
      <w:proofErr w:type="spellEnd"/>
      <w:r w:rsidR="00515373">
        <w:rPr>
          <w:bCs/>
        </w:rPr>
        <w:t>,</w:t>
      </w:r>
      <w:r w:rsidR="00F568B9">
        <w:rPr>
          <w:bCs/>
        </w:rPr>
        <w:t xml:space="preserve"> zajmu</w:t>
      </w:r>
      <w:r w:rsidR="00515373">
        <w:rPr>
          <w:bCs/>
        </w:rPr>
        <w:t>jąca</w:t>
      </w:r>
      <w:r w:rsidR="008D6BAF">
        <w:rPr>
          <w:bCs/>
        </w:rPr>
        <w:t xml:space="preserve"> </w:t>
      </w:r>
      <w:r w:rsidR="000D59A1">
        <w:rPr>
          <w:bCs/>
        </w:rPr>
        <w:t>w grudniu w</w:t>
      </w:r>
      <w:r w:rsidR="00490E84">
        <w:rPr>
          <w:bCs/>
        </w:rPr>
        <w:t>e wszystkich</w:t>
      </w:r>
      <w:r w:rsidR="008D6BAF">
        <w:rPr>
          <w:bCs/>
        </w:rPr>
        <w:t xml:space="preserve"> badanych rodzajach sklepów </w:t>
      </w:r>
      <w:r w:rsidR="00F568B9">
        <w:rPr>
          <w:bCs/>
        </w:rPr>
        <w:t>6,20 proc. półek</w:t>
      </w:r>
      <w:r w:rsidR="00EF78DA">
        <w:rPr>
          <w:bCs/>
        </w:rPr>
        <w:t xml:space="preserve">. W ciągu roku zwiększyła ekspozycję niemal 1 </w:t>
      </w:r>
      <w:proofErr w:type="spellStart"/>
      <w:r w:rsidR="00EF78DA">
        <w:rPr>
          <w:bCs/>
        </w:rPr>
        <w:t>p.p</w:t>
      </w:r>
      <w:proofErr w:type="spellEnd"/>
      <w:r w:rsidR="00EF78DA">
        <w:rPr>
          <w:bCs/>
        </w:rPr>
        <w:t>. Znaczącą widoczność mieli także</w:t>
      </w:r>
      <w:r w:rsidR="00515373">
        <w:rPr>
          <w:bCs/>
        </w:rPr>
        <w:t xml:space="preserve"> </w:t>
      </w:r>
      <w:proofErr w:type="spellStart"/>
      <w:r w:rsidR="00F568B9">
        <w:rPr>
          <w:bCs/>
        </w:rPr>
        <w:t>Bifix</w:t>
      </w:r>
      <w:proofErr w:type="spellEnd"/>
      <w:r w:rsidR="00F568B9">
        <w:rPr>
          <w:bCs/>
        </w:rPr>
        <w:t xml:space="preserve">, </w:t>
      </w:r>
      <w:proofErr w:type="spellStart"/>
      <w:r w:rsidR="00F568B9">
        <w:rPr>
          <w:bCs/>
        </w:rPr>
        <w:t>Mokate</w:t>
      </w:r>
      <w:proofErr w:type="spellEnd"/>
      <w:r w:rsidR="00F568B9">
        <w:rPr>
          <w:bCs/>
        </w:rPr>
        <w:t xml:space="preserve"> i Gourmet </w:t>
      </w:r>
      <w:r w:rsidR="00515373">
        <w:rPr>
          <w:bCs/>
        </w:rPr>
        <w:t xml:space="preserve">z </w:t>
      </w:r>
      <w:r w:rsidR="00F568B9">
        <w:rPr>
          <w:bCs/>
        </w:rPr>
        <w:t>ponad 5 proc</w:t>
      </w:r>
      <w:r w:rsidR="00515373">
        <w:rPr>
          <w:bCs/>
        </w:rPr>
        <w:t xml:space="preserve">. udziałami w ekspozycji. </w:t>
      </w:r>
    </w:p>
    <w:p w14:paraId="71E076F8" w14:textId="6E8CAE91" w:rsidR="006E31BD" w:rsidRPr="006E31BD" w:rsidRDefault="006E31BD" w:rsidP="006E31BD">
      <w:pPr>
        <w:jc w:val="both"/>
        <w:rPr>
          <w:noProof/>
          <w:lang w:val="en-US" w:eastAsia="pl-PL"/>
        </w:rPr>
      </w:pPr>
      <w:r w:rsidRPr="006E31BD">
        <w:rPr>
          <w:noProof/>
          <w:lang w:val="en-US" w:eastAsia="pl-PL"/>
        </w:rPr>
        <w:drawing>
          <wp:inline distT="0" distB="0" distL="0" distR="0" wp14:anchorId="76107EE1" wp14:editId="55D8BF8F">
            <wp:extent cx="5760720" cy="3240405"/>
            <wp:effectExtent l="0" t="0" r="0" b="0"/>
            <wp:docPr id="3750005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005B1E4" w14:textId="78F6DA59" w:rsidR="008D6BAF" w:rsidRDefault="008D6BAF" w:rsidP="008D6BAF">
      <w:pPr>
        <w:jc w:val="both"/>
        <w:rPr>
          <w:i/>
          <w:iCs/>
          <w:sz w:val="20"/>
          <w:szCs w:val="20"/>
        </w:rPr>
      </w:pPr>
      <w:proofErr w:type="spellStart"/>
      <w:r w:rsidRPr="00043EE1">
        <w:rPr>
          <w:i/>
          <w:iCs/>
          <w:sz w:val="20"/>
          <w:szCs w:val="20"/>
        </w:rPr>
        <w:t>eLeader</w:t>
      </w:r>
      <w:proofErr w:type="spellEnd"/>
      <w:r w:rsidRPr="00043EE1">
        <w:rPr>
          <w:i/>
          <w:iCs/>
          <w:sz w:val="20"/>
          <w:szCs w:val="20"/>
        </w:rPr>
        <w:t>, Udziały</w:t>
      </w:r>
      <w:r>
        <w:rPr>
          <w:i/>
          <w:iCs/>
          <w:sz w:val="20"/>
          <w:szCs w:val="20"/>
        </w:rPr>
        <w:t xml:space="preserve"> producentów</w:t>
      </w:r>
      <w:r w:rsidRPr="00043EE1">
        <w:rPr>
          <w:i/>
          <w:iCs/>
          <w:sz w:val="20"/>
          <w:szCs w:val="20"/>
        </w:rPr>
        <w:t xml:space="preserve"> w </w:t>
      </w:r>
      <w:r>
        <w:rPr>
          <w:i/>
          <w:iCs/>
          <w:sz w:val="20"/>
          <w:szCs w:val="20"/>
        </w:rPr>
        <w:t xml:space="preserve">sklepowej ekspozycji </w:t>
      </w:r>
      <w:r w:rsidRPr="00043EE1">
        <w:rPr>
          <w:i/>
          <w:iCs/>
          <w:sz w:val="20"/>
          <w:szCs w:val="20"/>
        </w:rPr>
        <w:t xml:space="preserve">w kategorii </w:t>
      </w:r>
      <w:r>
        <w:rPr>
          <w:i/>
          <w:iCs/>
          <w:sz w:val="20"/>
          <w:szCs w:val="20"/>
        </w:rPr>
        <w:t>herbaty w 2025 roku</w:t>
      </w:r>
    </w:p>
    <w:p w14:paraId="4B2EAAC9" w14:textId="49818CF0" w:rsidR="00E20BD8" w:rsidRPr="006E31BD" w:rsidRDefault="00E20BD8" w:rsidP="008D6BAF">
      <w:pPr>
        <w:jc w:val="both"/>
      </w:pPr>
      <w:r w:rsidRPr="006E31BD">
        <w:t xml:space="preserve">Porównanie udziałów poszczególnych producentów i </w:t>
      </w:r>
      <w:proofErr w:type="spellStart"/>
      <w:r w:rsidRPr="006E31BD">
        <w:t>brandów</w:t>
      </w:r>
      <w:proofErr w:type="spellEnd"/>
      <w:r w:rsidRPr="006E31BD">
        <w:t xml:space="preserve"> w półce herbaty w IV kwartale roku 2024 i 2025 wykazało niewielkie wahania w zestawieniu</w:t>
      </w:r>
      <w:r w:rsidR="00AE5202" w:rsidRPr="006E31BD">
        <w:t xml:space="preserve"> czołowych graczy w tym segmencie. Dowodzi to, że jest to rynek stabilny, ale konkurencyjny – z silnymi liderami, rosnącą profesjonalizacją zarządzania ekspozycją oraz utrzymującą się potrzebą różnorodności oferty. To obraz kategorii dojrzałej, w której przewagę buduje się konsekwencją, skalą i efektywnym zarządzaniem miejscem na półce, a nie gwałtownymi zmianami udziałów.</w:t>
      </w:r>
    </w:p>
    <w:p w14:paraId="5DC738DF" w14:textId="112E358E" w:rsidR="008437EB" w:rsidRPr="00E20BD8" w:rsidRDefault="00F64AF5" w:rsidP="000656F9">
      <w:pPr>
        <w:jc w:val="both"/>
      </w:pPr>
      <w:r w:rsidRPr="0090238F">
        <w:t>–</w:t>
      </w:r>
      <w:r w:rsidR="00D31E8F">
        <w:t xml:space="preserve"> </w:t>
      </w:r>
      <w:r w:rsidR="00CE09C2" w:rsidRPr="00CE09C2">
        <w:rPr>
          <w:bCs/>
          <w:i/>
          <w:iCs/>
        </w:rPr>
        <w:t>Dane pokazują, że ekspozycja w kategorii herbat koncentruje się wokół największych producentów, jednak różnice między formatami sklepów dowodzą, jak istotne jest stałe monitorowanie obecności produktów na półkach. Analiza ekspozycji pozwala bowiem uchwycić nie tylko pozycję liderów, lecz także zmiany w widoczności poszczególnych marek, które bezpośrednio przekładają się na decyzje zakupowe konsumentów</w:t>
      </w:r>
      <w:r w:rsidR="00CE09C2">
        <w:rPr>
          <w:bCs/>
          <w:i/>
          <w:iCs/>
        </w:rPr>
        <w:t xml:space="preserve"> </w:t>
      </w:r>
      <w:r w:rsidRPr="0090238F">
        <w:t xml:space="preserve">– </w:t>
      </w:r>
      <w:r w:rsidR="006B5316" w:rsidRPr="006B5316">
        <w:t xml:space="preserve">mówi Paweł Majsiej, Chief of </w:t>
      </w:r>
      <w:proofErr w:type="spellStart"/>
      <w:r w:rsidR="006B5316" w:rsidRPr="006B5316">
        <w:t>Shelf</w:t>
      </w:r>
      <w:proofErr w:type="spellEnd"/>
      <w:r w:rsidR="006B5316" w:rsidRPr="006B5316">
        <w:t xml:space="preserve"> </w:t>
      </w:r>
      <w:proofErr w:type="spellStart"/>
      <w:r w:rsidR="006B5316" w:rsidRPr="006B5316">
        <w:t>Recognition</w:t>
      </w:r>
      <w:proofErr w:type="spellEnd"/>
      <w:r w:rsidR="006B5316" w:rsidRPr="006B5316">
        <w:t xml:space="preserve"> AI w </w:t>
      </w:r>
      <w:proofErr w:type="spellStart"/>
      <w:r w:rsidR="006B5316" w:rsidRPr="006B5316">
        <w:t>eLeader</w:t>
      </w:r>
      <w:proofErr w:type="spellEnd"/>
      <w:r w:rsidR="006B5316" w:rsidRPr="006B5316">
        <w:t>.</w:t>
      </w:r>
    </w:p>
    <w:p w14:paraId="3A7CB141" w14:textId="2EB0486C" w:rsidR="004E4399" w:rsidRPr="004E4399" w:rsidRDefault="00D7732B" w:rsidP="00D90D02">
      <w:pPr>
        <w:jc w:val="both"/>
        <w:rPr>
          <w:i/>
        </w:rPr>
      </w:pPr>
      <w:r>
        <w:rPr>
          <w:bCs/>
        </w:rPr>
        <w:t>Analizę wykonano na podstawie danych z 1</w:t>
      </w:r>
      <w:r w:rsidR="0001601C">
        <w:rPr>
          <w:bCs/>
        </w:rPr>
        <w:t>0</w:t>
      </w:r>
      <w:r>
        <w:rPr>
          <w:bCs/>
        </w:rPr>
        <w:t xml:space="preserve"> sieci</w:t>
      </w:r>
      <w:r w:rsidR="004C474D">
        <w:rPr>
          <w:bCs/>
        </w:rPr>
        <w:t xml:space="preserve"> sklepów</w:t>
      </w:r>
      <w:r w:rsidR="008D6BAF">
        <w:rPr>
          <w:bCs/>
        </w:rPr>
        <w:t xml:space="preserve">, w tym typu dyskontów, hipermarketów i </w:t>
      </w:r>
      <w:proofErr w:type="spellStart"/>
      <w:r w:rsidR="008D6BAF">
        <w:rPr>
          <w:bCs/>
        </w:rPr>
        <w:t>proximity</w:t>
      </w:r>
      <w:proofErr w:type="spellEnd"/>
      <w:r>
        <w:rPr>
          <w:bCs/>
        </w:rPr>
        <w:t xml:space="preserve">. </w:t>
      </w:r>
      <w:r w:rsidR="001B366C">
        <w:rPr>
          <w:bCs/>
        </w:rPr>
        <w:t>Do przeprowadzenia badania</w:t>
      </w:r>
      <w:r w:rsidR="00B6566A">
        <w:rPr>
          <w:bCs/>
        </w:rPr>
        <w:t xml:space="preserve"> użyto</w:t>
      </w:r>
      <w:r w:rsidR="00D90D02">
        <w:rPr>
          <w:bCs/>
        </w:rPr>
        <w:t xml:space="preserve"> technologii </w:t>
      </w:r>
      <w:proofErr w:type="spellStart"/>
      <w:r w:rsidR="00D90D02">
        <w:rPr>
          <w:bCs/>
        </w:rPr>
        <w:t>Shelf</w:t>
      </w:r>
      <w:proofErr w:type="spellEnd"/>
      <w:r w:rsidR="00D90D02">
        <w:rPr>
          <w:bCs/>
        </w:rPr>
        <w:t xml:space="preserve"> </w:t>
      </w:r>
      <w:proofErr w:type="spellStart"/>
      <w:r w:rsidR="00D90D02">
        <w:rPr>
          <w:bCs/>
        </w:rPr>
        <w:t>Recognition</w:t>
      </w:r>
      <w:proofErr w:type="spellEnd"/>
      <w:r w:rsidR="00D90D02">
        <w:rPr>
          <w:bCs/>
        </w:rPr>
        <w:t xml:space="preserve"> AI, która umożliwia </w:t>
      </w:r>
      <w:r w:rsidR="00B6566A">
        <w:rPr>
          <w:bCs/>
        </w:rPr>
        <w:t xml:space="preserve">producentom </w:t>
      </w:r>
      <w:r w:rsidR="00CC499C">
        <w:rPr>
          <w:bCs/>
        </w:rPr>
        <w:t>automatyczną analizę ekspozycji jedynie za pomocą zdjęcia sklepowej półki wykonanego smartfonem.</w:t>
      </w:r>
      <w:r w:rsidR="004C474D">
        <w:rPr>
          <w:bCs/>
        </w:rPr>
        <w:t xml:space="preserve"> </w:t>
      </w:r>
      <w:r w:rsidR="00CC499C">
        <w:rPr>
          <w:bCs/>
        </w:rPr>
        <w:t xml:space="preserve">Możliwości narzędzia przedstawiają także poprzednie raporty marki, w których </w:t>
      </w:r>
      <w:r w:rsidR="00CC499C">
        <w:rPr>
          <w:bCs/>
        </w:rPr>
        <w:lastRenderedPageBreak/>
        <w:t xml:space="preserve">przeanalizowano ekspozycję piw i napojów energetyzujących. Więcej informacji o narzędziu i </w:t>
      </w:r>
      <w:r w:rsidR="00B6566A">
        <w:rPr>
          <w:bCs/>
        </w:rPr>
        <w:t>pozostałych raportach ekspozycji</w:t>
      </w:r>
      <w:r w:rsidR="00CC499C">
        <w:rPr>
          <w:bCs/>
        </w:rPr>
        <w:t xml:space="preserve"> można znaleźć na stronie </w:t>
      </w:r>
      <w:proofErr w:type="spellStart"/>
      <w:r w:rsidR="00CC499C">
        <w:rPr>
          <w:bCs/>
        </w:rPr>
        <w:t>eLeader</w:t>
      </w:r>
      <w:proofErr w:type="spellEnd"/>
      <w:r w:rsidR="00CC499C">
        <w:rPr>
          <w:bCs/>
        </w:rPr>
        <w:t xml:space="preserve">.  </w:t>
      </w:r>
    </w:p>
    <w:p w14:paraId="229603F0" w14:textId="53914E24" w:rsidR="00D17096" w:rsidRDefault="00D17096" w:rsidP="00D17096">
      <w:pPr>
        <w:jc w:val="both"/>
        <w:rPr>
          <w:sz w:val="18"/>
          <w:szCs w:val="18"/>
        </w:rPr>
      </w:pPr>
      <w:proofErr w:type="spellStart"/>
      <w:r>
        <w:rPr>
          <w:b/>
          <w:bCs/>
          <w:sz w:val="18"/>
          <w:szCs w:val="18"/>
        </w:rPr>
        <w:t>eLeader</w:t>
      </w:r>
      <w:proofErr w:type="spellEnd"/>
      <w:r>
        <w:rPr>
          <w:sz w:val="18"/>
          <w:szCs w:val="18"/>
        </w:rPr>
        <w:t xml:space="preserve"> to </w:t>
      </w:r>
      <w:r w:rsidR="00993CC8">
        <w:rPr>
          <w:sz w:val="18"/>
          <w:szCs w:val="18"/>
        </w:rPr>
        <w:t>spółka technologiczna</w:t>
      </w:r>
      <w:r>
        <w:rPr>
          <w:sz w:val="18"/>
          <w:szCs w:val="18"/>
        </w:rPr>
        <w:t xml:space="preserve"> specjalizująca się w dostarczaniu narzędzi wspierających realizację strategii sprzedażowej w terenie. Opracowuje mobilne systemy SFA/FFM ze sztuczną inteligencją usprawniającą m.in. pozycjonowanie produktów na półkach oraz zarządzanie zamówieniami, audytami i reklamacjami. </w:t>
      </w:r>
      <w:proofErr w:type="spellStart"/>
      <w:r>
        <w:rPr>
          <w:sz w:val="18"/>
          <w:szCs w:val="18"/>
        </w:rPr>
        <w:t>eLeader</w:t>
      </w:r>
      <w:proofErr w:type="spellEnd"/>
      <w:r>
        <w:rPr>
          <w:sz w:val="18"/>
          <w:szCs w:val="18"/>
        </w:rPr>
        <w:t xml:space="preserve"> funkcjonuje od 2000 roku. Od tego czasu rozwiązania firmy zostały doceni</w:t>
      </w:r>
      <w:r w:rsidR="008249C0">
        <w:rPr>
          <w:sz w:val="18"/>
          <w:szCs w:val="18"/>
        </w:rPr>
        <w:t>o</w:t>
      </w:r>
      <w:r>
        <w:rPr>
          <w:sz w:val="18"/>
          <w:szCs w:val="18"/>
        </w:rPr>
        <w:t>ne przez globalne ośrodki analityczne, m.in. Gartner, POI i wdrożone przez międzynarodowe koncerny w ponad 80 krajach. Wśród klientów marki są takie firmy jak Frosta</w:t>
      </w:r>
      <w:r w:rsidR="003273B1">
        <w:rPr>
          <w:sz w:val="18"/>
          <w:szCs w:val="18"/>
        </w:rPr>
        <w:t xml:space="preserve"> </w:t>
      </w:r>
      <w:r>
        <w:rPr>
          <w:sz w:val="18"/>
          <w:szCs w:val="18"/>
        </w:rPr>
        <w:t xml:space="preserve">czy </w:t>
      </w:r>
      <w:proofErr w:type="spellStart"/>
      <w:r>
        <w:rPr>
          <w:sz w:val="18"/>
          <w:szCs w:val="18"/>
        </w:rPr>
        <w:t>Danone</w:t>
      </w:r>
      <w:proofErr w:type="spellEnd"/>
      <w:r>
        <w:rPr>
          <w:sz w:val="18"/>
          <w:szCs w:val="18"/>
        </w:rPr>
        <w:t xml:space="preserve">. W swoich działaniach </w:t>
      </w:r>
      <w:proofErr w:type="spellStart"/>
      <w:r>
        <w:rPr>
          <w:sz w:val="18"/>
          <w:szCs w:val="18"/>
        </w:rPr>
        <w:t>eLeader</w:t>
      </w:r>
      <w:proofErr w:type="spellEnd"/>
      <w:r>
        <w:rPr>
          <w:sz w:val="18"/>
          <w:szCs w:val="18"/>
        </w:rPr>
        <w:t xml:space="preserve"> stawia na partnerstwo oraz szerokie możliwości dostosowania się do klienta i zmian. Tworzy nowoczesne i niezawodne systemy, spełniające indywidualne potrzeby firm. Więcej informacji na temat firmy na: </w:t>
      </w:r>
      <w:hyperlink r:id="rId11" w:history="1">
        <w:r>
          <w:rPr>
            <w:rStyle w:val="Hipercze"/>
            <w:sz w:val="18"/>
            <w:szCs w:val="18"/>
          </w:rPr>
          <w:t>https://www.eleader.biz</w:t>
        </w:r>
      </w:hyperlink>
      <w:r>
        <w:rPr>
          <w:sz w:val="18"/>
          <w:szCs w:val="18"/>
        </w:rPr>
        <w:t xml:space="preserve"> </w:t>
      </w:r>
    </w:p>
    <w:p w14:paraId="09E0458E" w14:textId="77777777" w:rsidR="00CC499C" w:rsidRDefault="00CC499C" w:rsidP="00CC499C">
      <w:pPr>
        <w:pStyle w:val="NormalnyWeb"/>
        <w:spacing w:before="0" w:beforeAutospacing="0" w:after="0" w:afterAutospacing="0"/>
        <w:jc w:val="both"/>
        <w:rPr>
          <w:sz w:val="18"/>
          <w:szCs w:val="18"/>
        </w:rPr>
      </w:pPr>
      <w:r>
        <w:rPr>
          <w:rFonts w:ascii="Calibri" w:hAnsi="Calibri" w:cs="Calibri"/>
          <w:color w:val="000000"/>
          <w:sz w:val="18"/>
          <w:szCs w:val="18"/>
          <w:shd w:val="clear" w:color="auto" w:fill="FFFFFF"/>
        </w:rPr>
        <w:t>Kontakt dla mediów:</w:t>
      </w:r>
    </w:p>
    <w:p w14:paraId="7BD8FCC6" w14:textId="77777777" w:rsidR="00CC499C" w:rsidRDefault="00CC499C" w:rsidP="00CC499C">
      <w:pPr>
        <w:spacing w:after="0" w:line="240" w:lineRule="auto"/>
        <w:rPr>
          <w:sz w:val="18"/>
          <w:szCs w:val="18"/>
        </w:rPr>
      </w:pPr>
      <w:r>
        <w:rPr>
          <w:sz w:val="18"/>
          <w:szCs w:val="18"/>
        </w:rPr>
        <w:t>Joanna Kuciel</w:t>
      </w:r>
    </w:p>
    <w:p w14:paraId="4E662DDE" w14:textId="77777777" w:rsidR="00CC499C" w:rsidRDefault="00CC499C" w:rsidP="00CC499C">
      <w:pPr>
        <w:spacing w:after="0" w:line="240" w:lineRule="auto"/>
        <w:rPr>
          <w:sz w:val="18"/>
          <w:szCs w:val="18"/>
        </w:rPr>
      </w:pPr>
      <w:r>
        <w:rPr>
          <w:sz w:val="18"/>
          <w:szCs w:val="18"/>
        </w:rPr>
        <w:t xml:space="preserve">e-mail: </w:t>
      </w:r>
      <w:hyperlink r:id="rId12" w:history="1">
        <w:r>
          <w:rPr>
            <w:rStyle w:val="Hipercze"/>
            <w:color w:val="0563C1"/>
            <w:sz w:val="18"/>
            <w:szCs w:val="18"/>
          </w:rPr>
          <w:t>joanna.kuciel@goodonepr.pl</w:t>
        </w:r>
      </w:hyperlink>
    </w:p>
    <w:p w14:paraId="0C7D9F4D" w14:textId="32B04C33" w:rsidR="005C2F15" w:rsidRPr="006E31BD" w:rsidRDefault="00CC499C" w:rsidP="006E31BD">
      <w:pPr>
        <w:rPr>
          <w:sz w:val="18"/>
          <w:szCs w:val="18"/>
          <w:lang w:val="en-US"/>
        </w:rPr>
      </w:pPr>
      <w:r>
        <w:rPr>
          <w:sz w:val="18"/>
          <w:szCs w:val="18"/>
          <w:lang w:val="en-US"/>
        </w:rPr>
        <w:t xml:space="preserve">Tel.: </w:t>
      </w:r>
      <w:r>
        <w:rPr>
          <w:sz w:val="18"/>
          <w:szCs w:val="18"/>
          <w:highlight w:val="white"/>
          <w:lang w:val="en-US"/>
        </w:rPr>
        <w:t>+48</w:t>
      </w:r>
      <w:r>
        <w:rPr>
          <w:b/>
          <w:sz w:val="18"/>
          <w:szCs w:val="18"/>
          <w:highlight w:val="white"/>
          <w:lang w:val="en-US"/>
        </w:rPr>
        <w:t> </w:t>
      </w:r>
      <w:r>
        <w:rPr>
          <w:sz w:val="18"/>
          <w:szCs w:val="18"/>
          <w:highlight w:val="white"/>
          <w:lang w:val="en-US"/>
        </w:rPr>
        <w:t>796 996</w:t>
      </w:r>
      <w:r w:rsidR="00893E91">
        <w:rPr>
          <w:sz w:val="18"/>
          <w:szCs w:val="18"/>
          <w:highlight w:val="white"/>
          <w:lang w:val="en-US"/>
        </w:rPr>
        <w:t> </w:t>
      </w:r>
      <w:r>
        <w:rPr>
          <w:sz w:val="18"/>
          <w:szCs w:val="18"/>
          <w:highlight w:val="white"/>
          <w:lang w:val="en-US"/>
        </w:rPr>
        <w:t>272</w:t>
      </w:r>
    </w:p>
    <w:sectPr w:rsidR="005C2F15" w:rsidRPr="006E31BD">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67C23" w14:textId="77777777" w:rsidR="00CB25A8" w:rsidRDefault="00CB25A8" w:rsidP="00086FB7">
      <w:pPr>
        <w:spacing w:after="0" w:line="240" w:lineRule="auto"/>
      </w:pPr>
      <w:r>
        <w:separator/>
      </w:r>
    </w:p>
  </w:endnote>
  <w:endnote w:type="continuationSeparator" w:id="0">
    <w:p w14:paraId="0ABC20D9" w14:textId="77777777" w:rsidR="00CB25A8" w:rsidRDefault="00CB25A8" w:rsidP="0008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9747F" w14:textId="77777777" w:rsidR="00CB25A8" w:rsidRDefault="00CB25A8" w:rsidP="00086FB7">
      <w:pPr>
        <w:spacing w:after="0" w:line="240" w:lineRule="auto"/>
      </w:pPr>
      <w:r>
        <w:separator/>
      </w:r>
    </w:p>
  </w:footnote>
  <w:footnote w:type="continuationSeparator" w:id="0">
    <w:p w14:paraId="60558D98" w14:textId="77777777" w:rsidR="00CB25A8" w:rsidRDefault="00CB25A8" w:rsidP="00086FB7">
      <w:pPr>
        <w:spacing w:after="0" w:line="240" w:lineRule="auto"/>
      </w:pPr>
      <w:r>
        <w:continuationSeparator/>
      </w:r>
    </w:p>
  </w:footnote>
  <w:footnote w:id="1">
    <w:p w14:paraId="33C3DC11" w14:textId="3B190E4F" w:rsidR="00C06A77" w:rsidRDefault="00C06A77">
      <w:pPr>
        <w:pStyle w:val="Tekstprzypisudolnego"/>
      </w:pPr>
      <w:r>
        <w:rPr>
          <w:rStyle w:val="Odwoanieprzypisudolnego"/>
        </w:rPr>
        <w:footnoteRef/>
      </w:r>
      <w:r>
        <w:t xml:space="preserve"> </w:t>
      </w:r>
      <w:hyperlink r:id="rId1" w:history="1">
        <w:r w:rsidRPr="00625B9F">
          <w:rPr>
            <w:rStyle w:val="Hipercze"/>
          </w:rPr>
          <w:t>https://ads.listonic.com/raport/kawa-czy-herbata-raport/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7EF4" w14:textId="09D30109" w:rsidR="00086FB7" w:rsidRDefault="00D17096">
    <w:pPr>
      <w:pStyle w:val="Nagwek"/>
    </w:pPr>
    <w:r>
      <w:rPr>
        <w:noProof/>
        <w:lang w:eastAsia="pl-PL"/>
      </w:rPr>
      <w:drawing>
        <wp:anchor distT="0" distB="0" distL="114300" distR="114300" simplePos="0" relativeHeight="251659264" behindDoc="1" locked="0" layoutInCell="1" allowOverlap="1" wp14:anchorId="7EDB652C" wp14:editId="37B076FC">
          <wp:simplePos x="0" y="0"/>
          <wp:positionH relativeFrom="column">
            <wp:posOffset>-619125</wp:posOffset>
          </wp:positionH>
          <wp:positionV relativeFrom="paragraph">
            <wp:posOffset>-457835</wp:posOffset>
          </wp:positionV>
          <wp:extent cx="5744210" cy="1055370"/>
          <wp:effectExtent l="0" t="0" r="0" b="0"/>
          <wp:wrapNone/>
          <wp:docPr id="2" name="Obraz 2" descr="dokumen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y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421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64C44"/>
    <w:multiLevelType w:val="hybridMultilevel"/>
    <w:tmpl w:val="2042D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ACC0B1D"/>
    <w:multiLevelType w:val="hybridMultilevel"/>
    <w:tmpl w:val="89E48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CD322BF"/>
    <w:multiLevelType w:val="hybridMultilevel"/>
    <w:tmpl w:val="40403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F465E3E"/>
    <w:multiLevelType w:val="hybridMultilevel"/>
    <w:tmpl w:val="6F28A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9B1668E"/>
    <w:multiLevelType w:val="hybridMultilevel"/>
    <w:tmpl w:val="33A6D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2DF13FA"/>
    <w:multiLevelType w:val="hybridMultilevel"/>
    <w:tmpl w:val="0B1ED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61995615">
    <w:abstractNumId w:val="0"/>
  </w:num>
  <w:num w:numId="2" w16cid:durableId="1964966038">
    <w:abstractNumId w:val="1"/>
  </w:num>
  <w:num w:numId="3" w16cid:durableId="1600023297">
    <w:abstractNumId w:val="4"/>
  </w:num>
  <w:num w:numId="4" w16cid:durableId="1269392568">
    <w:abstractNumId w:val="5"/>
  </w:num>
  <w:num w:numId="5" w16cid:durableId="1571773247">
    <w:abstractNumId w:val="2"/>
  </w:num>
  <w:num w:numId="6" w16cid:durableId="1027103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KwMLawMDI3NzE2MzBX0lEKTi0uzszPAykwrgUAO+hZ+ywAAAA="/>
  </w:docVars>
  <w:rsids>
    <w:rsidRoot w:val="00693272"/>
    <w:rsid w:val="00000717"/>
    <w:rsid w:val="000012CD"/>
    <w:rsid w:val="000022DA"/>
    <w:rsid w:val="000028B8"/>
    <w:rsid w:val="0000703C"/>
    <w:rsid w:val="0001601C"/>
    <w:rsid w:val="00022A0D"/>
    <w:rsid w:val="000332CA"/>
    <w:rsid w:val="00034636"/>
    <w:rsid w:val="00043EE1"/>
    <w:rsid w:val="00044C4A"/>
    <w:rsid w:val="0005226E"/>
    <w:rsid w:val="00053960"/>
    <w:rsid w:val="00062409"/>
    <w:rsid w:val="0006443B"/>
    <w:rsid w:val="000656F9"/>
    <w:rsid w:val="000666B1"/>
    <w:rsid w:val="00071746"/>
    <w:rsid w:val="00072614"/>
    <w:rsid w:val="000734A6"/>
    <w:rsid w:val="000749A0"/>
    <w:rsid w:val="00077ECA"/>
    <w:rsid w:val="000851C7"/>
    <w:rsid w:val="000865D3"/>
    <w:rsid w:val="00086FB7"/>
    <w:rsid w:val="00092CF1"/>
    <w:rsid w:val="000933D5"/>
    <w:rsid w:val="00097CD7"/>
    <w:rsid w:val="000A17A0"/>
    <w:rsid w:val="000A4621"/>
    <w:rsid w:val="000B08AF"/>
    <w:rsid w:val="000B1A1F"/>
    <w:rsid w:val="000B5DEA"/>
    <w:rsid w:val="000B7433"/>
    <w:rsid w:val="000C2471"/>
    <w:rsid w:val="000C43F5"/>
    <w:rsid w:val="000C4B47"/>
    <w:rsid w:val="000D0D82"/>
    <w:rsid w:val="000D59A1"/>
    <w:rsid w:val="000E4C0F"/>
    <w:rsid w:val="000E56A7"/>
    <w:rsid w:val="000E6813"/>
    <w:rsid w:val="000F0E56"/>
    <w:rsid w:val="000F2461"/>
    <w:rsid w:val="000F42F3"/>
    <w:rsid w:val="000F6FDD"/>
    <w:rsid w:val="00100509"/>
    <w:rsid w:val="0010409C"/>
    <w:rsid w:val="001073FE"/>
    <w:rsid w:val="001129FC"/>
    <w:rsid w:val="00120B80"/>
    <w:rsid w:val="00120E21"/>
    <w:rsid w:val="00126D5B"/>
    <w:rsid w:val="001270E2"/>
    <w:rsid w:val="00131502"/>
    <w:rsid w:val="00132714"/>
    <w:rsid w:val="00145AA2"/>
    <w:rsid w:val="001522BE"/>
    <w:rsid w:val="00152F00"/>
    <w:rsid w:val="001569A1"/>
    <w:rsid w:val="00157B3F"/>
    <w:rsid w:val="00170478"/>
    <w:rsid w:val="0017099D"/>
    <w:rsid w:val="00171724"/>
    <w:rsid w:val="00175874"/>
    <w:rsid w:val="00177654"/>
    <w:rsid w:val="00185955"/>
    <w:rsid w:val="00185D0D"/>
    <w:rsid w:val="001875BB"/>
    <w:rsid w:val="00194402"/>
    <w:rsid w:val="00196589"/>
    <w:rsid w:val="00196741"/>
    <w:rsid w:val="001A177F"/>
    <w:rsid w:val="001A1AA6"/>
    <w:rsid w:val="001A670F"/>
    <w:rsid w:val="001B076A"/>
    <w:rsid w:val="001B366C"/>
    <w:rsid w:val="001B4EE4"/>
    <w:rsid w:val="001B63FD"/>
    <w:rsid w:val="001B728E"/>
    <w:rsid w:val="001C2842"/>
    <w:rsid w:val="001C645C"/>
    <w:rsid w:val="001D3E0D"/>
    <w:rsid w:val="001D6186"/>
    <w:rsid w:val="001D71AE"/>
    <w:rsid w:val="001D7E7C"/>
    <w:rsid w:val="001E58DA"/>
    <w:rsid w:val="001F31D8"/>
    <w:rsid w:val="001F428F"/>
    <w:rsid w:val="001F6776"/>
    <w:rsid w:val="002077A1"/>
    <w:rsid w:val="0021152C"/>
    <w:rsid w:val="002142B3"/>
    <w:rsid w:val="00216CCC"/>
    <w:rsid w:val="00227D7D"/>
    <w:rsid w:val="00231823"/>
    <w:rsid w:val="002405FC"/>
    <w:rsid w:val="002415EA"/>
    <w:rsid w:val="00246082"/>
    <w:rsid w:val="00247A4B"/>
    <w:rsid w:val="002531B3"/>
    <w:rsid w:val="002574CF"/>
    <w:rsid w:val="00260C5E"/>
    <w:rsid w:val="002639BC"/>
    <w:rsid w:val="0026500D"/>
    <w:rsid w:val="002654C1"/>
    <w:rsid w:val="00265C99"/>
    <w:rsid w:val="002675F9"/>
    <w:rsid w:val="00267F61"/>
    <w:rsid w:val="0027233B"/>
    <w:rsid w:val="00274930"/>
    <w:rsid w:val="0027748C"/>
    <w:rsid w:val="00280F45"/>
    <w:rsid w:val="002813AD"/>
    <w:rsid w:val="002927BA"/>
    <w:rsid w:val="0029518B"/>
    <w:rsid w:val="002956CD"/>
    <w:rsid w:val="00295948"/>
    <w:rsid w:val="00296FD1"/>
    <w:rsid w:val="002A0F7A"/>
    <w:rsid w:val="002A38F4"/>
    <w:rsid w:val="002A4CB9"/>
    <w:rsid w:val="002B6986"/>
    <w:rsid w:val="002C2D5E"/>
    <w:rsid w:val="002D0416"/>
    <w:rsid w:val="002D1B49"/>
    <w:rsid w:val="002D1B9F"/>
    <w:rsid w:val="002D1C95"/>
    <w:rsid w:val="002D36B8"/>
    <w:rsid w:val="002D389F"/>
    <w:rsid w:val="002D6C0B"/>
    <w:rsid w:val="002E076B"/>
    <w:rsid w:val="002F18F8"/>
    <w:rsid w:val="003005A0"/>
    <w:rsid w:val="00302020"/>
    <w:rsid w:val="003021AA"/>
    <w:rsid w:val="00303D9C"/>
    <w:rsid w:val="0031504A"/>
    <w:rsid w:val="0032049B"/>
    <w:rsid w:val="00324575"/>
    <w:rsid w:val="003273B1"/>
    <w:rsid w:val="00330727"/>
    <w:rsid w:val="003378C0"/>
    <w:rsid w:val="0034377B"/>
    <w:rsid w:val="00346C73"/>
    <w:rsid w:val="003476BD"/>
    <w:rsid w:val="00352A12"/>
    <w:rsid w:val="00356EFE"/>
    <w:rsid w:val="00370DAC"/>
    <w:rsid w:val="0037499C"/>
    <w:rsid w:val="00375AC6"/>
    <w:rsid w:val="0038031F"/>
    <w:rsid w:val="003808E3"/>
    <w:rsid w:val="0038282A"/>
    <w:rsid w:val="00382C83"/>
    <w:rsid w:val="00383A1D"/>
    <w:rsid w:val="00384594"/>
    <w:rsid w:val="00386A2E"/>
    <w:rsid w:val="003943FD"/>
    <w:rsid w:val="00394A94"/>
    <w:rsid w:val="0039796D"/>
    <w:rsid w:val="003A0458"/>
    <w:rsid w:val="003A24C8"/>
    <w:rsid w:val="003A4B8B"/>
    <w:rsid w:val="003B3589"/>
    <w:rsid w:val="003B67D3"/>
    <w:rsid w:val="003B7D3B"/>
    <w:rsid w:val="003C2549"/>
    <w:rsid w:val="003C3AA8"/>
    <w:rsid w:val="003D28C2"/>
    <w:rsid w:val="003D7044"/>
    <w:rsid w:val="003D73BC"/>
    <w:rsid w:val="003E4845"/>
    <w:rsid w:val="003F0D61"/>
    <w:rsid w:val="00401941"/>
    <w:rsid w:val="00401E86"/>
    <w:rsid w:val="00403065"/>
    <w:rsid w:val="004041EC"/>
    <w:rsid w:val="004108BF"/>
    <w:rsid w:val="00414CF9"/>
    <w:rsid w:val="00416DCA"/>
    <w:rsid w:val="004170C8"/>
    <w:rsid w:val="004176BF"/>
    <w:rsid w:val="004252C3"/>
    <w:rsid w:val="004313E1"/>
    <w:rsid w:val="0043417C"/>
    <w:rsid w:val="00434AC4"/>
    <w:rsid w:val="00434B7A"/>
    <w:rsid w:val="00435F66"/>
    <w:rsid w:val="00446D9E"/>
    <w:rsid w:val="00447769"/>
    <w:rsid w:val="004500B1"/>
    <w:rsid w:val="00456D29"/>
    <w:rsid w:val="004604C5"/>
    <w:rsid w:val="00462A78"/>
    <w:rsid w:val="00463CB6"/>
    <w:rsid w:val="00465BF9"/>
    <w:rsid w:val="0046716F"/>
    <w:rsid w:val="00475098"/>
    <w:rsid w:val="0047526F"/>
    <w:rsid w:val="0048011D"/>
    <w:rsid w:val="00484A50"/>
    <w:rsid w:val="00486C4E"/>
    <w:rsid w:val="00490E84"/>
    <w:rsid w:val="00495E55"/>
    <w:rsid w:val="004960F3"/>
    <w:rsid w:val="00497579"/>
    <w:rsid w:val="004C3311"/>
    <w:rsid w:val="004C4592"/>
    <w:rsid w:val="004C474D"/>
    <w:rsid w:val="004C7F31"/>
    <w:rsid w:val="004D4418"/>
    <w:rsid w:val="004E4399"/>
    <w:rsid w:val="004E7298"/>
    <w:rsid w:val="004F086F"/>
    <w:rsid w:val="004F1413"/>
    <w:rsid w:val="004F5E99"/>
    <w:rsid w:val="004F6047"/>
    <w:rsid w:val="004F6B51"/>
    <w:rsid w:val="00500B63"/>
    <w:rsid w:val="0050172D"/>
    <w:rsid w:val="00503E64"/>
    <w:rsid w:val="0051176B"/>
    <w:rsid w:val="00515373"/>
    <w:rsid w:val="00516931"/>
    <w:rsid w:val="0052343C"/>
    <w:rsid w:val="0052482C"/>
    <w:rsid w:val="00525F88"/>
    <w:rsid w:val="005306A4"/>
    <w:rsid w:val="00531DB0"/>
    <w:rsid w:val="00535417"/>
    <w:rsid w:val="00545649"/>
    <w:rsid w:val="005457BB"/>
    <w:rsid w:val="00547A60"/>
    <w:rsid w:val="00550330"/>
    <w:rsid w:val="0055087C"/>
    <w:rsid w:val="00551B06"/>
    <w:rsid w:val="00553ED5"/>
    <w:rsid w:val="005600BF"/>
    <w:rsid w:val="00561EF2"/>
    <w:rsid w:val="0056622F"/>
    <w:rsid w:val="005664CB"/>
    <w:rsid w:val="005705DC"/>
    <w:rsid w:val="00572C05"/>
    <w:rsid w:val="0057306E"/>
    <w:rsid w:val="005802D4"/>
    <w:rsid w:val="00586B72"/>
    <w:rsid w:val="00586C00"/>
    <w:rsid w:val="00591AAB"/>
    <w:rsid w:val="005A06CE"/>
    <w:rsid w:val="005B4F12"/>
    <w:rsid w:val="005C17B6"/>
    <w:rsid w:val="005C18AC"/>
    <w:rsid w:val="005C2E8E"/>
    <w:rsid w:val="005C2F15"/>
    <w:rsid w:val="005C6838"/>
    <w:rsid w:val="005C77F2"/>
    <w:rsid w:val="005C78F5"/>
    <w:rsid w:val="005E5A65"/>
    <w:rsid w:val="005E6305"/>
    <w:rsid w:val="005E6BD6"/>
    <w:rsid w:val="005E7284"/>
    <w:rsid w:val="005F2192"/>
    <w:rsid w:val="00600C69"/>
    <w:rsid w:val="00605359"/>
    <w:rsid w:val="00607FF2"/>
    <w:rsid w:val="00612D85"/>
    <w:rsid w:val="00620E7E"/>
    <w:rsid w:val="006212F8"/>
    <w:rsid w:val="00625C1F"/>
    <w:rsid w:val="00635E23"/>
    <w:rsid w:val="00650A9F"/>
    <w:rsid w:val="006530C8"/>
    <w:rsid w:val="00653714"/>
    <w:rsid w:val="0066624F"/>
    <w:rsid w:val="00673DF9"/>
    <w:rsid w:val="006772E3"/>
    <w:rsid w:val="0067756A"/>
    <w:rsid w:val="00680504"/>
    <w:rsid w:val="006816C7"/>
    <w:rsid w:val="00693272"/>
    <w:rsid w:val="00693602"/>
    <w:rsid w:val="006A155A"/>
    <w:rsid w:val="006A3594"/>
    <w:rsid w:val="006B4713"/>
    <w:rsid w:val="006B4C8C"/>
    <w:rsid w:val="006B5316"/>
    <w:rsid w:val="006B5564"/>
    <w:rsid w:val="006C011B"/>
    <w:rsid w:val="006C0D2D"/>
    <w:rsid w:val="006C1031"/>
    <w:rsid w:val="006D31F7"/>
    <w:rsid w:val="006D71DC"/>
    <w:rsid w:val="006E06DF"/>
    <w:rsid w:val="006E2197"/>
    <w:rsid w:val="006E31BD"/>
    <w:rsid w:val="00703756"/>
    <w:rsid w:val="007042A2"/>
    <w:rsid w:val="00704A4A"/>
    <w:rsid w:val="00704E46"/>
    <w:rsid w:val="007173EE"/>
    <w:rsid w:val="007224B4"/>
    <w:rsid w:val="00725650"/>
    <w:rsid w:val="00730CDA"/>
    <w:rsid w:val="00740BD1"/>
    <w:rsid w:val="00743411"/>
    <w:rsid w:val="007479F0"/>
    <w:rsid w:val="007513FB"/>
    <w:rsid w:val="00754A3D"/>
    <w:rsid w:val="00761362"/>
    <w:rsid w:val="00771719"/>
    <w:rsid w:val="007734EE"/>
    <w:rsid w:val="00773591"/>
    <w:rsid w:val="00774246"/>
    <w:rsid w:val="007822CF"/>
    <w:rsid w:val="00786232"/>
    <w:rsid w:val="0078710C"/>
    <w:rsid w:val="007902F0"/>
    <w:rsid w:val="00790EB9"/>
    <w:rsid w:val="0079139E"/>
    <w:rsid w:val="00793147"/>
    <w:rsid w:val="00793AD2"/>
    <w:rsid w:val="007A130F"/>
    <w:rsid w:val="007A1A7E"/>
    <w:rsid w:val="007A7B01"/>
    <w:rsid w:val="007A7F68"/>
    <w:rsid w:val="007B18C9"/>
    <w:rsid w:val="007B38AD"/>
    <w:rsid w:val="007B7F5C"/>
    <w:rsid w:val="007C482E"/>
    <w:rsid w:val="007E2F46"/>
    <w:rsid w:val="007E3FA2"/>
    <w:rsid w:val="007E47B1"/>
    <w:rsid w:val="007E4AE5"/>
    <w:rsid w:val="007E7948"/>
    <w:rsid w:val="007F79E3"/>
    <w:rsid w:val="00804166"/>
    <w:rsid w:val="00804B5E"/>
    <w:rsid w:val="008134C0"/>
    <w:rsid w:val="00813C69"/>
    <w:rsid w:val="00814C52"/>
    <w:rsid w:val="00822BF7"/>
    <w:rsid w:val="00822E27"/>
    <w:rsid w:val="008249C0"/>
    <w:rsid w:val="00825EA4"/>
    <w:rsid w:val="00825F28"/>
    <w:rsid w:val="00834979"/>
    <w:rsid w:val="00842287"/>
    <w:rsid w:val="008437EB"/>
    <w:rsid w:val="0084561D"/>
    <w:rsid w:val="00846AD8"/>
    <w:rsid w:val="00852DAE"/>
    <w:rsid w:val="00857698"/>
    <w:rsid w:val="00861ACD"/>
    <w:rsid w:val="008641C1"/>
    <w:rsid w:val="00865673"/>
    <w:rsid w:val="0086642A"/>
    <w:rsid w:val="00866B4C"/>
    <w:rsid w:val="00867A15"/>
    <w:rsid w:val="00872815"/>
    <w:rsid w:val="00876AC0"/>
    <w:rsid w:val="00880266"/>
    <w:rsid w:val="00884DAB"/>
    <w:rsid w:val="00886E80"/>
    <w:rsid w:val="00893683"/>
    <w:rsid w:val="0089381E"/>
    <w:rsid w:val="00893E91"/>
    <w:rsid w:val="00897E8A"/>
    <w:rsid w:val="008A035C"/>
    <w:rsid w:val="008A2A6B"/>
    <w:rsid w:val="008A2DE7"/>
    <w:rsid w:val="008A57FA"/>
    <w:rsid w:val="008A7F15"/>
    <w:rsid w:val="008B4380"/>
    <w:rsid w:val="008C6DB1"/>
    <w:rsid w:val="008D371E"/>
    <w:rsid w:val="008D61B3"/>
    <w:rsid w:val="008D6BAF"/>
    <w:rsid w:val="008E03D4"/>
    <w:rsid w:val="008F0160"/>
    <w:rsid w:val="008F5BAA"/>
    <w:rsid w:val="008F6F2C"/>
    <w:rsid w:val="0090238F"/>
    <w:rsid w:val="009070C9"/>
    <w:rsid w:val="009075B9"/>
    <w:rsid w:val="00911716"/>
    <w:rsid w:val="00912855"/>
    <w:rsid w:val="00922670"/>
    <w:rsid w:val="0092765A"/>
    <w:rsid w:val="00932A6E"/>
    <w:rsid w:val="00932D3B"/>
    <w:rsid w:val="00937A6F"/>
    <w:rsid w:val="009474EA"/>
    <w:rsid w:val="0095753B"/>
    <w:rsid w:val="00963FB1"/>
    <w:rsid w:val="00964704"/>
    <w:rsid w:val="009715F5"/>
    <w:rsid w:val="00977E01"/>
    <w:rsid w:val="009879E2"/>
    <w:rsid w:val="00993CC8"/>
    <w:rsid w:val="009952B5"/>
    <w:rsid w:val="009A1063"/>
    <w:rsid w:val="009A5758"/>
    <w:rsid w:val="009B0BC2"/>
    <w:rsid w:val="009C1171"/>
    <w:rsid w:val="009C2A7A"/>
    <w:rsid w:val="009C3D46"/>
    <w:rsid w:val="009D132B"/>
    <w:rsid w:val="009D4544"/>
    <w:rsid w:val="009F0907"/>
    <w:rsid w:val="009F31C6"/>
    <w:rsid w:val="00A02236"/>
    <w:rsid w:val="00A03135"/>
    <w:rsid w:val="00A0402B"/>
    <w:rsid w:val="00A04C98"/>
    <w:rsid w:val="00A10210"/>
    <w:rsid w:val="00A10895"/>
    <w:rsid w:val="00A10DE3"/>
    <w:rsid w:val="00A17956"/>
    <w:rsid w:val="00A21186"/>
    <w:rsid w:val="00A24F1C"/>
    <w:rsid w:val="00A2710D"/>
    <w:rsid w:val="00A315E2"/>
    <w:rsid w:val="00A31B1E"/>
    <w:rsid w:val="00A33949"/>
    <w:rsid w:val="00A35D3C"/>
    <w:rsid w:val="00A4293C"/>
    <w:rsid w:val="00A446FA"/>
    <w:rsid w:val="00A52B7C"/>
    <w:rsid w:val="00A57154"/>
    <w:rsid w:val="00A658CA"/>
    <w:rsid w:val="00A76E68"/>
    <w:rsid w:val="00A82AD5"/>
    <w:rsid w:val="00A84209"/>
    <w:rsid w:val="00A8669B"/>
    <w:rsid w:val="00A90C26"/>
    <w:rsid w:val="00A94952"/>
    <w:rsid w:val="00A9753A"/>
    <w:rsid w:val="00AA09D0"/>
    <w:rsid w:val="00AA0D80"/>
    <w:rsid w:val="00AA52A0"/>
    <w:rsid w:val="00AA76F6"/>
    <w:rsid w:val="00AB2AFA"/>
    <w:rsid w:val="00AC454C"/>
    <w:rsid w:val="00AD2317"/>
    <w:rsid w:val="00AD3E20"/>
    <w:rsid w:val="00AD4606"/>
    <w:rsid w:val="00AE38DF"/>
    <w:rsid w:val="00AE46A1"/>
    <w:rsid w:val="00AE5202"/>
    <w:rsid w:val="00AE7504"/>
    <w:rsid w:val="00AF011F"/>
    <w:rsid w:val="00AF2484"/>
    <w:rsid w:val="00AF4A8B"/>
    <w:rsid w:val="00AF4E70"/>
    <w:rsid w:val="00AF55E3"/>
    <w:rsid w:val="00B02037"/>
    <w:rsid w:val="00B05DA3"/>
    <w:rsid w:val="00B07B8E"/>
    <w:rsid w:val="00B11808"/>
    <w:rsid w:val="00B1237F"/>
    <w:rsid w:val="00B163A5"/>
    <w:rsid w:val="00B170B3"/>
    <w:rsid w:val="00B22539"/>
    <w:rsid w:val="00B2255B"/>
    <w:rsid w:val="00B229D5"/>
    <w:rsid w:val="00B3015F"/>
    <w:rsid w:val="00B3046E"/>
    <w:rsid w:val="00B32DD2"/>
    <w:rsid w:val="00B36DE3"/>
    <w:rsid w:val="00B36F71"/>
    <w:rsid w:val="00B4075C"/>
    <w:rsid w:val="00B40E4C"/>
    <w:rsid w:val="00B40E57"/>
    <w:rsid w:val="00B441DF"/>
    <w:rsid w:val="00B51853"/>
    <w:rsid w:val="00B518FE"/>
    <w:rsid w:val="00B51F83"/>
    <w:rsid w:val="00B61F5E"/>
    <w:rsid w:val="00B623BA"/>
    <w:rsid w:val="00B6566A"/>
    <w:rsid w:val="00B67579"/>
    <w:rsid w:val="00B70373"/>
    <w:rsid w:val="00B76E42"/>
    <w:rsid w:val="00B80BBE"/>
    <w:rsid w:val="00B8177A"/>
    <w:rsid w:val="00B83EF4"/>
    <w:rsid w:val="00B875DF"/>
    <w:rsid w:val="00B929DF"/>
    <w:rsid w:val="00B9409E"/>
    <w:rsid w:val="00BA01CD"/>
    <w:rsid w:val="00BA4EF4"/>
    <w:rsid w:val="00BA66D2"/>
    <w:rsid w:val="00BA69DE"/>
    <w:rsid w:val="00BA7C84"/>
    <w:rsid w:val="00BB1DAE"/>
    <w:rsid w:val="00BB6AF4"/>
    <w:rsid w:val="00BB738E"/>
    <w:rsid w:val="00BC76A4"/>
    <w:rsid w:val="00BD0AA8"/>
    <w:rsid w:val="00BD2945"/>
    <w:rsid w:val="00BD51D3"/>
    <w:rsid w:val="00BD5DB4"/>
    <w:rsid w:val="00BE2D63"/>
    <w:rsid w:val="00BE48E7"/>
    <w:rsid w:val="00BE5706"/>
    <w:rsid w:val="00BE6273"/>
    <w:rsid w:val="00BF5745"/>
    <w:rsid w:val="00BF6718"/>
    <w:rsid w:val="00C03AC3"/>
    <w:rsid w:val="00C056A0"/>
    <w:rsid w:val="00C06A77"/>
    <w:rsid w:val="00C07B94"/>
    <w:rsid w:val="00C172A5"/>
    <w:rsid w:val="00C273C3"/>
    <w:rsid w:val="00C36089"/>
    <w:rsid w:val="00C3712E"/>
    <w:rsid w:val="00C45B87"/>
    <w:rsid w:val="00C46BC0"/>
    <w:rsid w:val="00C518BF"/>
    <w:rsid w:val="00C52F25"/>
    <w:rsid w:val="00C6498E"/>
    <w:rsid w:val="00C70D82"/>
    <w:rsid w:val="00C75EC3"/>
    <w:rsid w:val="00C9015D"/>
    <w:rsid w:val="00C96027"/>
    <w:rsid w:val="00CA238B"/>
    <w:rsid w:val="00CA6089"/>
    <w:rsid w:val="00CB25A8"/>
    <w:rsid w:val="00CB3F1D"/>
    <w:rsid w:val="00CB5C45"/>
    <w:rsid w:val="00CC020F"/>
    <w:rsid w:val="00CC499C"/>
    <w:rsid w:val="00CC6CE3"/>
    <w:rsid w:val="00CD04BE"/>
    <w:rsid w:val="00CD6B75"/>
    <w:rsid w:val="00CD72CE"/>
    <w:rsid w:val="00CE09C2"/>
    <w:rsid w:val="00CE291F"/>
    <w:rsid w:val="00CE447C"/>
    <w:rsid w:val="00CE55FC"/>
    <w:rsid w:val="00CF0AF2"/>
    <w:rsid w:val="00CF5154"/>
    <w:rsid w:val="00CF5335"/>
    <w:rsid w:val="00CF5CAB"/>
    <w:rsid w:val="00CF7446"/>
    <w:rsid w:val="00D01CDB"/>
    <w:rsid w:val="00D05B38"/>
    <w:rsid w:val="00D17096"/>
    <w:rsid w:val="00D174D5"/>
    <w:rsid w:val="00D20263"/>
    <w:rsid w:val="00D255C1"/>
    <w:rsid w:val="00D263E5"/>
    <w:rsid w:val="00D27875"/>
    <w:rsid w:val="00D31E8F"/>
    <w:rsid w:val="00D3487D"/>
    <w:rsid w:val="00D356E5"/>
    <w:rsid w:val="00D434B1"/>
    <w:rsid w:val="00D448FD"/>
    <w:rsid w:val="00D46F59"/>
    <w:rsid w:val="00D50000"/>
    <w:rsid w:val="00D5075D"/>
    <w:rsid w:val="00D509BF"/>
    <w:rsid w:val="00D50B92"/>
    <w:rsid w:val="00D56192"/>
    <w:rsid w:val="00D65EB3"/>
    <w:rsid w:val="00D678A5"/>
    <w:rsid w:val="00D70676"/>
    <w:rsid w:val="00D74CF1"/>
    <w:rsid w:val="00D7732B"/>
    <w:rsid w:val="00D77C66"/>
    <w:rsid w:val="00D8187A"/>
    <w:rsid w:val="00D87A6B"/>
    <w:rsid w:val="00D90D02"/>
    <w:rsid w:val="00D935A1"/>
    <w:rsid w:val="00DA2FDC"/>
    <w:rsid w:val="00DA5D00"/>
    <w:rsid w:val="00DC257F"/>
    <w:rsid w:val="00DD4F84"/>
    <w:rsid w:val="00DD739B"/>
    <w:rsid w:val="00DE0003"/>
    <w:rsid w:val="00DE0548"/>
    <w:rsid w:val="00DE1124"/>
    <w:rsid w:val="00DE4BCC"/>
    <w:rsid w:val="00DE7FD1"/>
    <w:rsid w:val="00E10EE9"/>
    <w:rsid w:val="00E14C13"/>
    <w:rsid w:val="00E20BD8"/>
    <w:rsid w:val="00E243D4"/>
    <w:rsid w:val="00E24CCA"/>
    <w:rsid w:val="00E250C3"/>
    <w:rsid w:val="00E27529"/>
    <w:rsid w:val="00E32882"/>
    <w:rsid w:val="00E4019C"/>
    <w:rsid w:val="00E520B4"/>
    <w:rsid w:val="00E53A93"/>
    <w:rsid w:val="00E54AB7"/>
    <w:rsid w:val="00E6016F"/>
    <w:rsid w:val="00E64ED8"/>
    <w:rsid w:val="00E931E7"/>
    <w:rsid w:val="00E978D6"/>
    <w:rsid w:val="00E97BC6"/>
    <w:rsid w:val="00EA011D"/>
    <w:rsid w:val="00EA06F5"/>
    <w:rsid w:val="00EA3626"/>
    <w:rsid w:val="00EA5D47"/>
    <w:rsid w:val="00EA60BD"/>
    <w:rsid w:val="00EA700E"/>
    <w:rsid w:val="00EB1E54"/>
    <w:rsid w:val="00EB5072"/>
    <w:rsid w:val="00EB722E"/>
    <w:rsid w:val="00EC4022"/>
    <w:rsid w:val="00EC48D1"/>
    <w:rsid w:val="00EC5ADD"/>
    <w:rsid w:val="00ED0FFA"/>
    <w:rsid w:val="00ED38C5"/>
    <w:rsid w:val="00ED79D4"/>
    <w:rsid w:val="00EE0B11"/>
    <w:rsid w:val="00EE151C"/>
    <w:rsid w:val="00EE2F5B"/>
    <w:rsid w:val="00EE3984"/>
    <w:rsid w:val="00EE67FD"/>
    <w:rsid w:val="00EF004E"/>
    <w:rsid w:val="00EF16B2"/>
    <w:rsid w:val="00EF23DB"/>
    <w:rsid w:val="00EF677E"/>
    <w:rsid w:val="00EF78DA"/>
    <w:rsid w:val="00F1033B"/>
    <w:rsid w:val="00F16913"/>
    <w:rsid w:val="00F247DD"/>
    <w:rsid w:val="00F254F1"/>
    <w:rsid w:val="00F30269"/>
    <w:rsid w:val="00F411E9"/>
    <w:rsid w:val="00F43A97"/>
    <w:rsid w:val="00F515C8"/>
    <w:rsid w:val="00F553B7"/>
    <w:rsid w:val="00F55807"/>
    <w:rsid w:val="00F568B9"/>
    <w:rsid w:val="00F57553"/>
    <w:rsid w:val="00F622AA"/>
    <w:rsid w:val="00F64AF5"/>
    <w:rsid w:val="00F667FE"/>
    <w:rsid w:val="00F71C68"/>
    <w:rsid w:val="00F72511"/>
    <w:rsid w:val="00F72A43"/>
    <w:rsid w:val="00F72C38"/>
    <w:rsid w:val="00F80450"/>
    <w:rsid w:val="00F857A6"/>
    <w:rsid w:val="00F85818"/>
    <w:rsid w:val="00F95ED0"/>
    <w:rsid w:val="00FA2F75"/>
    <w:rsid w:val="00FA7B8F"/>
    <w:rsid w:val="00FB0EA5"/>
    <w:rsid w:val="00FB1646"/>
    <w:rsid w:val="00FB33AC"/>
    <w:rsid w:val="00FB58A6"/>
    <w:rsid w:val="00FC17DC"/>
    <w:rsid w:val="00FC45B8"/>
    <w:rsid w:val="00FC471B"/>
    <w:rsid w:val="00FC699A"/>
    <w:rsid w:val="00FC74D7"/>
    <w:rsid w:val="00FD13EF"/>
    <w:rsid w:val="00FD39FA"/>
    <w:rsid w:val="00FE49E8"/>
    <w:rsid w:val="00FE6999"/>
    <w:rsid w:val="00FE724E"/>
    <w:rsid w:val="00FF2104"/>
    <w:rsid w:val="00FF353A"/>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35FF"/>
  <w15:chartTrackingRefBased/>
  <w15:docId w15:val="{5B90F272-F35E-46FA-A54F-3F3E5018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A7A"/>
    <w:pPr>
      <w:ind w:left="720"/>
      <w:contextualSpacing/>
    </w:pPr>
  </w:style>
  <w:style w:type="character" w:styleId="Odwoaniedokomentarza">
    <w:name w:val="annotation reference"/>
    <w:basedOn w:val="Domylnaczcionkaakapitu"/>
    <w:uiPriority w:val="99"/>
    <w:semiHidden/>
    <w:unhideWhenUsed/>
    <w:rsid w:val="000022DA"/>
    <w:rPr>
      <w:sz w:val="16"/>
      <w:szCs w:val="16"/>
    </w:rPr>
  </w:style>
  <w:style w:type="paragraph" w:styleId="Tekstkomentarza">
    <w:name w:val="annotation text"/>
    <w:basedOn w:val="Normalny"/>
    <w:link w:val="TekstkomentarzaZnak"/>
    <w:uiPriority w:val="99"/>
    <w:unhideWhenUsed/>
    <w:rsid w:val="000022DA"/>
    <w:pPr>
      <w:spacing w:line="240" w:lineRule="auto"/>
    </w:pPr>
    <w:rPr>
      <w:sz w:val="20"/>
      <w:szCs w:val="20"/>
    </w:rPr>
  </w:style>
  <w:style w:type="character" w:customStyle="1" w:styleId="TekstkomentarzaZnak">
    <w:name w:val="Tekst komentarza Znak"/>
    <w:basedOn w:val="Domylnaczcionkaakapitu"/>
    <w:link w:val="Tekstkomentarza"/>
    <w:uiPriority w:val="99"/>
    <w:rsid w:val="000022DA"/>
    <w:rPr>
      <w:sz w:val="20"/>
      <w:szCs w:val="20"/>
    </w:rPr>
  </w:style>
  <w:style w:type="paragraph" w:styleId="Tematkomentarza">
    <w:name w:val="annotation subject"/>
    <w:basedOn w:val="Tekstkomentarza"/>
    <w:next w:val="Tekstkomentarza"/>
    <w:link w:val="TematkomentarzaZnak"/>
    <w:uiPriority w:val="99"/>
    <w:semiHidden/>
    <w:unhideWhenUsed/>
    <w:rsid w:val="000022DA"/>
    <w:rPr>
      <w:b/>
      <w:bCs/>
    </w:rPr>
  </w:style>
  <w:style w:type="character" w:customStyle="1" w:styleId="TematkomentarzaZnak">
    <w:name w:val="Temat komentarza Znak"/>
    <w:basedOn w:val="TekstkomentarzaZnak"/>
    <w:link w:val="Tematkomentarza"/>
    <w:uiPriority w:val="99"/>
    <w:semiHidden/>
    <w:rsid w:val="000022DA"/>
    <w:rPr>
      <w:b/>
      <w:bCs/>
      <w:sz w:val="20"/>
      <w:szCs w:val="20"/>
    </w:rPr>
  </w:style>
  <w:style w:type="paragraph" w:styleId="Poprawka">
    <w:name w:val="Revision"/>
    <w:hidden/>
    <w:uiPriority w:val="99"/>
    <w:semiHidden/>
    <w:rsid w:val="00F411E9"/>
    <w:pPr>
      <w:spacing w:after="0" w:line="240" w:lineRule="auto"/>
    </w:pPr>
  </w:style>
  <w:style w:type="paragraph" w:styleId="Tekstdymka">
    <w:name w:val="Balloon Text"/>
    <w:basedOn w:val="Normalny"/>
    <w:link w:val="TekstdymkaZnak"/>
    <w:uiPriority w:val="99"/>
    <w:semiHidden/>
    <w:unhideWhenUsed/>
    <w:rsid w:val="001B4EE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B4EE4"/>
    <w:rPr>
      <w:rFonts w:ascii="Segoe UI" w:hAnsi="Segoe UI" w:cs="Segoe UI"/>
      <w:sz w:val="18"/>
      <w:szCs w:val="18"/>
    </w:rPr>
  </w:style>
  <w:style w:type="paragraph" w:styleId="Nagwek">
    <w:name w:val="header"/>
    <w:basedOn w:val="Normalny"/>
    <w:link w:val="NagwekZnak"/>
    <w:uiPriority w:val="99"/>
    <w:unhideWhenUsed/>
    <w:rsid w:val="00086F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6FB7"/>
  </w:style>
  <w:style w:type="paragraph" w:styleId="Stopka">
    <w:name w:val="footer"/>
    <w:basedOn w:val="Normalny"/>
    <w:link w:val="StopkaZnak"/>
    <w:uiPriority w:val="99"/>
    <w:unhideWhenUsed/>
    <w:rsid w:val="00086F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6FB7"/>
  </w:style>
  <w:style w:type="character" w:styleId="Hipercze">
    <w:name w:val="Hyperlink"/>
    <w:basedOn w:val="Domylnaczcionkaakapitu"/>
    <w:uiPriority w:val="99"/>
    <w:unhideWhenUsed/>
    <w:rsid w:val="00D17096"/>
    <w:rPr>
      <w:color w:val="0563C1" w:themeColor="hyperlink"/>
      <w:u w:val="single"/>
    </w:rPr>
  </w:style>
  <w:style w:type="paragraph" w:styleId="NormalnyWeb">
    <w:name w:val="Normal (Web)"/>
    <w:basedOn w:val="Normalny"/>
    <w:uiPriority w:val="99"/>
    <w:semiHidden/>
    <w:unhideWhenUsed/>
    <w:rsid w:val="00D1709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17099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099D"/>
    <w:rPr>
      <w:sz w:val="20"/>
      <w:szCs w:val="20"/>
    </w:rPr>
  </w:style>
  <w:style w:type="character" w:styleId="Odwoanieprzypisukocowego">
    <w:name w:val="endnote reference"/>
    <w:basedOn w:val="Domylnaczcionkaakapitu"/>
    <w:uiPriority w:val="99"/>
    <w:semiHidden/>
    <w:unhideWhenUsed/>
    <w:rsid w:val="0017099D"/>
    <w:rPr>
      <w:vertAlign w:val="superscript"/>
    </w:rPr>
  </w:style>
  <w:style w:type="paragraph" w:styleId="Tekstprzypisudolnego">
    <w:name w:val="footnote text"/>
    <w:basedOn w:val="Normalny"/>
    <w:link w:val="TekstprzypisudolnegoZnak"/>
    <w:uiPriority w:val="99"/>
    <w:semiHidden/>
    <w:unhideWhenUsed/>
    <w:rsid w:val="00D05B3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05B38"/>
    <w:rPr>
      <w:sz w:val="20"/>
      <w:szCs w:val="20"/>
    </w:rPr>
  </w:style>
  <w:style w:type="character" w:styleId="Odwoanieprzypisudolnego">
    <w:name w:val="footnote reference"/>
    <w:basedOn w:val="Domylnaczcionkaakapitu"/>
    <w:uiPriority w:val="99"/>
    <w:semiHidden/>
    <w:unhideWhenUsed/>
    <w:rsid w:val="00D05B38"/>
    <w:rPr>
      <w:vertAlign w:val="superscript"/>
    </w:rPr>
  </w:style>
  <w:style w:type="character" w:customStyle="1" w:styleId="Nierozpoznanawzmianka1">
    <w:name w:val="Nierozpoznana wzmianka1"/>
    <w:basedOn w:val="Domylnaczcionkaakapitu"/>
    <w:uiPriority w:val="99"/>
    <w:semiHidden/>
    <w:unhideWhenUsed/>
    <w:rsid w:val="0031504A"/>
    <w:rPr>
      <w:color w:val="605E5C"/>
      <w:shd w:val="clear" w:color="auto" w:fill="E1DFDD"/>
    </w:rPr>
  </w:style>
  <w:style w:type="character" w:customStyle="1" w:styleId="Nierozpoznanawzmianka2">
    <w:name w:val="Nierozpoznana wzmianka2"/>
    <w:basedOn w:val="Domylnaczcionkaakapitu"/>
    <w:uiPriority w:val="99"/>
    <w:semiHidden/>
    <w:unhideWhenUsed/>
    <w:rsid w:val="00C06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14341">
      <w:bodyDiv w:val="1"/>
      <w:marLeft w:val="0"/>
      <w:marRight w:val="0"/>
      <w:marTop w:val="0"/>
      <w:marBottom w:val="0"/>
      <w:divBdr>
        <w:top w:val="none" w:sz="0" w:space="0" w:color="auto"/>
        <w:left w:val="none" w:sz="0" w:space="0" w:color="auto"/>
        <w:bottom w:val="none" w:sz="0" w:space="0" w:color="auto"/>
        <w:right w:val="none" w:sz="0" w:space="0" w:color="auto"/>
      </w:divBdr>
    </w:div>
    <w:div w:id="611060137">
      <w:bodyDiv w:val="1"/>
      <w:marLeft w:val="0"/>
      <w:marRight w:val="0"/>
      <w:marTop w:val="0"/>
      <w:marBottom w:val="0"/>
      <w:divBdr>
        <w:top w:val="none" w:sz="0" w:space="0" w:color="auto"/>
        <w:left w:val="none" w:sz="0" w:space="0" w:color="auto"/>
        <w:bottom w:val="none" w:sz="0" w:space="0" w:color="auto"/>
        <w:right w:val="none" w:sz="0" w:space="0" w:color="auto"/>
      </w:divBdr>
    </w:div>
    <w:div w:id="1018511086">
      <w:bodyDiv w:val="1"/>
      <w:marLeft w:val="0"/>
      <w:marRight w:val="0"/>
      <w:marTop w:val="0"/>
      <w:marBottom w:val="0"/>
      <w:divBdr>
        <w:top w:val="none" w:sz="0" w:space="0" w:color="auto"/>
        <w:left w:val="none" w:sz="0" w:space="0" w:color="auto"/>
        <w:bottom w:val="none" w:sz="0" w:space="0" w:color="auto"/>
        <w:right w:val="none" w:sz="0" w:space="0" w:color="auto"/>
      </w:divBdr>
    </w:div>
    <w:div w:id="1656641707">
      <w:bodyDiv w:val="1"/>
      <w:marLeft w:val="0"/>
      <w:marRight w:val="0"/>
      <w:marTop w:val="0"/>
      <w:marBottom w:val="0"/>
      <w:divBdr>
        <w:top w:val="none" w:sz="0" w:space="0" w:color="auto"/>
        <w:left w:val="none" w:sz="0" w:space="0" w:color="auto"/>
        <w:bottom w:val="none" w:sz="0" w:space="0" w:color="auto"/>
        <w:right w:val="none" w:sz="0" w:space="0" w:color="auto"/>
      </w:divBdr>
    </w:div>
    <w:div w:id="1783303645">
      <w:bodyDiv w:val="1"/>
      <w:marLeft w:val="0"/>
      <w:marRight w:val="0"/>
      <w:marTop w:val="0"/>
      <w:marBottom w:val="0"/>
      <w:divBdr>
        <w:top w:val="none" w:sz="0" w:space="0" w:color="auto"/>
        <w:left w:val="none" w:sz="0" w:space="0" w:color="auto"/>
        <w:bottom w:val="none" w:sz="0" w:space="0" w:color="auto"/>
        <w:right w:val="none" w:sz="0" w:space="0" w:color="auto"/>
      </w:divBdr>
    </w:div>
    <w:div w:id="20832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anna.kuciel@goodonepr.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ader.bi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ds.listonic.com/raport/kawa-czy-herbata-ra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104DE-C37C-46E2-A6AF-FAB45492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1206</Words>
  <Characters>6875</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PR2024</dc:creator>
  <cp:keywords/>
  <dc:description/>
  <cp:lastModifiedBy>Joanna Kuciel</cp:lastModifiedBy>
  <cp:revision>6</cp:revision>
  <dcterms:created xsi:type="dcterms:W3CDTF">2026-02-27T12:00:00Z</dcterms:created>
  <dcterms:modified xsi:type="dcterms:W3CDTF">2026-02-27T15:13:00Z</dcterms:modified>
</cp:coreProperties>
</file>