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0A7FB" w14:textId="77777777" w:rsidR="009E5FBC" w:rsidRDefault="009E5FBC" w:rsidP="00801B50">
      <w:pPr>
        <w:jc w:val="center"/>
        <w:rPr>
          <w:b/>
          <w:bCs/>
          <w:sz w:val="28"/>
          <w:szCs w:val="28"/>
        </w:rPr>
      </w:pPr>
    </w:p>
    <w:p w14:paraId="1CC853DE" w14:textId="77777777" w:rsidR="00C575E9" w:rsidRPr="00060303" w:rsidRDefault="00C575E9" w:rsidP="00C575E9">
      <w:pPr>
        <w:rPr>
          <w:rFonts w:ascii="Aptos" w:hAnsi="Aptos" w:cstheme="minorHAnsi"/>
        </w:rPr>
      </w:pPr>
      <w:r w:rsidRPr="00060303">
        <w:rPr>
          <w:rFonts w:ascii="Aptos" w:hAnsi="Aptos" w:cstheme="minorHAnsi"/>
        </w:rPr>
        <w:t>INFORMACJA PRASOWA</w:t>
      </w:r>
    </w:p>
    <w:p w14:paraId="480C5B2B" w14:textId="5F9D6E40" w:rsidR="009E5FBC" w:rsidRPr="00060303" w:rsidRDefault="00C575E9" w:rsidP="00C4530B">
      <w:pPr>
        <w:jc w:val="right"/>
        <w:rPr>
          <w:rFonts w:ascii="Aptos" w:hAnsi="Aptos" w:cstheme="minorHAnsi"/>
        </w:rPr>
      </w:pPr>
      <w:r w:rsidRPr="00060303">
        <w:rPr>
          <w:rFonts w:ascii="Aptos" w:hAnsi="Aptos" w:cstheme="minorHAnsi"/>
        </w:rPr>
        <w:t>Warszawa, 27 lutego 2026 r.</w:t>
      </w:r>
    </w:p>
    <w:p w14:paraId="4FEB7942" w14:textId="543E1185" w:rsidR="008B7A4F" w:rsidRPr="00060303" w:rsidRDefault="008B7A4F" w:rsidP="008B7A4F">
      <w:pPr>
        <w:jc w:val="center"/>
        <w:rPr>
          <w:b/>
          <w:bCs/>
          <w:sz w:val="28"/>
          <w:szCs w:val="28"/>
        </w:rPr>
      </w:pPr>
      <w:r w:rsidRPr="00060303">
        <w:rPr>
          <w:b/>
          <w:bCs/>
          <w:sz w:val="28"/>
          <w:szCs w:val="28"/>
        </w:rPr>
        <w:t xml:space="preserve">BLIK stawia na </w:t>
      </w:r>
      <w:proofErr w:type="spellStart"/>
      <w:r w:rsidRPr="00060303">
        <w:rPr>
          <w:b/>
          <w:bCs/>
          <w:sz w:val="28"/>
          <w:szCs w:val="28"/>
        </w:rPr>
        <w:t>cashback</w:t>
      </w:r>
      <w:proofErr w:type="spellEnd"/>
      <w:r w:rsidRPr="00060303">
        <w:rPr>
          <w:b/>
          <w:bCs/>
          <w:sz w:val="28"/>
          <w:szCs w:val="28"/>
        </w:rPr>
        <w:t xml:space="preserve">. Gotówka </w:t>
      </w:r>
      <w:r w:rsidR="00D36155" w:rsidRPr="00060303">
        <w:rPr>
          <w:b/>
          <w:bCs/>
          <w:sz w:val="28"/>
          <w:szCs w:val="28"/>
        </w:rPr>
        <w:t xml:space="preserve">z kasy </w:t>
      </w:r>
      <w:r w:rsidRPr="00060303">
        <w:rPr>
          <w:b/>
          <w:bCs/>
          <w:sz w:val="28"/>
          <w:szCs w:val="28"/>
        </w:rPr>
        <w:t>w sklepach zamiast limitów w bankomatach</w:t>
      </w:r>
      <w:r w:rsidR="003D18F9" w:rsidRPr="00060303">
        <w:rPr>
          <w:b/>
          <w:bCs/>
          <w:sz w:val="28"/>
          <w:szCs w:val="28"/>
        </w:rPr>
        <w:t xml:space="preserve"> już dla 13 mln użytkowników</w:t>
      </w:r>
    </w:p>
    <w:p w14:paraId="214E4C6D" w14:textId="77777777" w:rsidR="006E7963" w:rsidRDefault="008B18D9" w:rsidP="00CB7CEB">
      <w:pPr>
        <w:jc w:val="both"/>
        <w:rPr>
          <w:b/>
          <w:bCs/>
        </w:rPr>
      </w:pPr>
      <w:r w:rsidRPr="00060303">
        <w:rPr>
          <w:b/>
          <w:bCs/>
        </w:rPr>
        <w:t xml:space="preserve">BLIK intensyfikuje rozwój usługi </w:t>
      </w:r>
      <w:proofErr w:type="spellStart"/>
      <w:r w:rsidRPr="00060303">
        <w:rPr>
          <w:b/>
          <w:bCs/>
        </w:rPr>
        <w:t>cashback</w:t>
      </w:r>
      <w:proofErr w:type="spellEnd"/>
      <w:r w:rsidRPr="00060303">
        <w:rPr>
          <w:b/>
          <w:bCs/>
        </w:rPr>
        <w:t xml:space="preserve">, która jest już dostępna w 13 mln aplikacji bankowych zarejestrowanych w systemie. </w:t>
      </w:r>
      <w:r w:rsidR="003D18F9" w:rsidRPr="00060303">
        <w:rPr>
          <w:b/>
          <w:bCs/>
        </w:rPr>
        <w:t>W 2025 roku u</w:t>
      </w:r>
      <w:r w:rsidRPr="00060303">
        <w:rPr>
          <w:b/>
          <w:bCs/>
        </w:rPr>
        <w:t>żytkowni</w:t>
      </w:r>
      <w:r w:rsidR="003D18F9" w:rsidRPr="00060303">
        <w:rPr>
          <w:b/>
          <w:bCs/>
        </w:rPr>
        <w:t>cy</w:t>
      </w:r>
      <w:r w:rsidRPr="00060303">
        <w:rPr>
          <w:b/>
          <w:bCs/>
        </w:rPr>
        <w:t xml:space="preserve"> </w:t>
      </w:r>
      <w:r w:rsidR="00D36155" w:rsidRPr="00060303">
        <w:rPr>
          <w:b/>
          <w:bCs/>
        </w:rPr>
        <w:t>BLIKA</w:t>
      </w:r>
      <w:r w:rsidR="00177640">
        <w:rPr>
          <w:b/>
          <w:bCs/>
        </w:rPr>
        <w:t xml:space="preserve"> mający</w:t>
      </w:r>
      <w:r w:rsidR="003D18F9" w:rsidRPr="00060303">
        <w:rPr>
          <w:b/>
          <w:bCs/>
        </w:rPr>
        <w:t xml:space="preserve"> konta w </w:t>
      </w:r>
      <w:r w:rsidRPr="00060303">
        <w:rPr>
          <w:b/>
          <w:bCs/>
        </w:rPr>
        <w:t>bankach,</w:t>
      </w:r>
      <w:r w:rsidR="003D18F9" w:rsidRPr="00060303">
        <w:rPr>
          <w:b/>
          <w:bCs/>
        </w:rPr>
        <w:t xml:space="preserve"> </w:t>
      </w:r>
      <w:r w:rsidRPr="00060303">
        <w:rPr>
          <w:b/>
          <w:bCs/>
        </w:rPr>
        <w:t>które wdrożyły to rozwiązani</w:t>
      </w:r>
      <w:r w:rsidR="003D18F9" w:rsidRPr="00060303">
        <w:rPr>
          <w:b/>
          <w:bCs/>
        </w:rPr>
        <w:t>e,</w:t>
      </w:r>
      <w:r w:rsidRPr="00060303">
        <w:rPr>
          <w:b/>
          <w:bCs/>
        </w:rPr>
        <w:t xml:space="preserve"> </w:t>
      </w:r>
      <w:r w:rsidR="003D18F9" w:rsidRPr="00060303">
        <w:rPr>
          <w:b/>
          <w:bCs/>
        </w:rPr>
        <w:t xml:space="preserve">wypłacali </w:t>
      </w:r>
      <w:r w:rsidRPr="00060303">
        <w:rPr>
          <w:b/>
          <w:bCs/>
        </w:rPr>
        <w:t xml:space="preserve">pieniądze przy okazji zakupów 1,3 mln razy. </w:t>
      </w:r>
      <w:r w:rsidR="006E7963" w:rsidRPr="006E7963">
        <w:rPr>
          <w:b/>
          <w:bCs/>
        </w:rPr>
        <w:t>Rosnąca o 7 proc. w skali roku skala transakcji potwierdza potencjał funkcji, która w nadchodzących kwartałach może stać się powszechnym standardem w kolejnych bankach oraz sieciach handlowych. Jest to szczególnie istotne w kontekście ogłaszanych przez operatorów zmian w limitach jednorazowych wypłat z bankomatów, a także zawężanej przez nich dostępności urządzeń w mniejszych miejscowościach.</w:t>
      </w:r>
    </w:p>
    <w:p w14:paraId="33DFD63D" w14:textId="1EF7BE5A" w:rsidR="003F3720" w:rsidRPr="00060303" w:rsidRDefault="003F3720" w:rsidP="00CB7CEB">
      <w:pPr>
        <w:jc w:val="both"/>
        <w:rPr>
          <w:b/>
          <w:bCs/>
        </w:rPr>
      </w:pPr>
      <w:r w:rsidRPr="00060303">
        <w:rPr>
          <w:b/>
          <w:bCs/>
        </w:rPr>
        <w:t xml:space="preserve">BLIK odblokuje potencjał </w:t>
      </w:r>
      <w:proofErr w:type="spellStart"/>
      <w:r w:rsidRPr="00060303">
        <w:rPr>
          <w:b/>
          <w:bCs/>
        </w:rPr>
        <w:t>cashbacku</w:t>
      </w:r>
      <w:proofErr w:type="spellEnd"/>
    </w:p>
    <w:p w14:paraId="00F831B7" w14:textId="0BCFC946" w:rsidR="00260F93" w:rsidRPr="00060303" w:rsidRDefault="00260F93" w:rsidP="000C554D">
      <w:pPr>
        <w:jc w:val="both"/>
      </w:pPr>
      <w:r w:rsidRPr="00060303">
        <w:t>Wypłata gotówki BLIKIEM przy sklepowej kasie ugruntowuje swoją pozycję jako rynkowy standard, co potwierdza jej dostępność dla klientów</w:t>
      </w:r>
      <w:r w:rsidR="00957835" w:rsidRPr="00060303">
        <w:t xml:space="preserve"> </w:t>
      </w:r>
      <w:r w:rsidRPr="00060303">
        <w:t xml:space="preserve">Banku Millennium, Banku Pekao S.A., </w:t>
      </w:r>
      <w:proofErr w:type="spellStart"/>
      <w:r w:rsidRPr="00060303">
        <w:t>VeloBanku</w:t>
      </w:r>
      <w:proofErr w:type="spellEnd"/>
      <w:r w:rsidRPr="00060303">
        <w:t xml:space="preserve">, Santander Bank Polska oraz Alior Banku. </w:t>
      </w:r>
      <w:r w:rsidR="00AB03F8" w:rsidRPr="00060303">
        <w:t xml:space="preserve">Dzięki integracji z systemami tych instytucji, funkcja ta jest aktywna w blisko 40 proc. wszystkich aplikacji zarejestrowanych w systemie BLIK. </w:t>
      </w:r>
      <w:r w:rsidR="001D529D" w:rsidRPr="00060303">
        <w:t xml:space="preserve">Wdrożenie w tak popularnych bankach </w:t>
      </w:r>
      <w:r w:rsidR="00AB03F8" w:rsidRPr="00060303">
        <w:t>sprawia, że ponad co trzeci aktywny użytkownik systemu w Polsce ma już bezpośredni dostęp do wypłaty gotówki w sklepie i może z niej skorzystać w dowolnym momencie.</w:t>
      </w:r>
    </w:p>
    <w:p w14:paraId="5402DA86" w14:textId="32075600" w:rsidR="000C554D" w:rsidRPr="00060303" w:rsidRDefault="000C554D" w:rsidP="000C554D">
      <w:pPr>
        <w:jc w:val="both"/>
      </w:pPr>
      <w:r w:rsidRPr="00060303">
        <w:t xml:space="preserve">– </w:t>
      </w:r>
      <w:r w:rsidR="00615E88" w:rsidRPr="00060303">
        <w:rPr>
          <w:i/>
          <w:iCs/>
        </w:rPr>
        <w:t xml:space="preserve">Rynek płatności pokazuje bardzo wyraźnie, że użytkownicy oczekują dziś usług, które łączą różne potrzeby w jednym prostym doświadczeniu. </w:t>
      </w:r>
      <w:proofErr w:type="spellStart"/>
      <w:r w:rsidR="00615E88" w:rsidRPr="00060303">
        <w:rPr>
          <w:i/>
          <w:iCs/>
        </w:rPr>
        <w:t>Cashback</w:t>
      </w:r>
      <w:proofErr w:type="spellEnd"/>
      <w:r w:rsidR="00615E88" w:rsidRPr="00060303">
        <w:rPr>
          <w:i/>
          <w:iCs/>
        </w:rPr>
        <w:t xml:space="preserve"> wpisuje się w ten kierunek, bo pozwala połączyć płatność z dostępem do gotówki w momencie, w którym klient już realizuje swoje codzienne zakupy. Dziś z tej opcji może korzystać duża część użytkowników BLIKA, a naszym celem na kolejne kwartały jest konsekwentne zwiększanie dostępności usługi w bankach i sieciach handlowych, tak aby baza osób mających dostęp do </w:t>
      </w:r>
      <w:proofErr w:type="spellStart"/>
      <w:r w:rsidR="00615E88" w:rsidRPr="00060303">
        <w:rPr>
          <w:i/>
          <w:iCs/>
        </w:rPr>
        <w:t>cashbacku</w:t>
      </w:r>
      <w:proofErr w:type="spellEnd"/>
      <w:r w:rsidR="00615E88" w:rsidRPr="00060303">
        <w:rPr>
          <w:i/>
          <w:iCs/>
        </w:rPr>
        <w:t xml:space="preserve"> systematycznie rosła, a sama wypłata gotówki była równie intuicyjna jak pozostałe funkcje BLIKA </w:t>
      </w:r>
      <w:r w:rsidRPr="00060303">
        <w:t xml:space="preserve">– mówi </w:t>
      </w:r>
      <w:r w:rsidR="00702D32" w:rsidRPr="00060303">
        <w:rPr>
          <w:b/>
          <w:bCs/>
        </w:rPr>
        <w:t xml:space="preserve">Adam Kokoszkiewicz, </w:t>
      </w:r>
      <w:r w:rsidR="00B54152" w:rsidRPr="00060303">
        <w:t>dyrektor departamentu sprzedaży w ‎Polskim Standardzie Płatności, operatorze BLIKA.</w:t>
      </w:r>
    </w:p>
    <w:p w14:paraId="2F56D0D7" w14:textId="1502FDD3" w:rsidR="00602B36" w:rsidRPr="00060303" w:rsidRDefault="00602B36" w:rsidP="008A60DB">
      <w:pPr>
        <w:jc w:val="both"/>
      </w:pPr>
      <w:r w:rsidRPr="00060303">
        <w:t xml:space="preserve">Rozwiązanie już teraz działa w szerokiej sieci punktów handlowych w całej Polsce – m.in. w sklepach Żabka, Dino, Empik, Netto czy Media </w:t>
      </w:r>
      <w:proofErr w:type="spellStart"/>
      <w:r w:rsidRPr="00060303">
        <w:t>Markt</w:t>
      </w:r>
      <w:proofErr w:type="spellEnd"/>
      <w:r w:rsidR="00347D0A" w:rsidRPr="00060303">
        <w:t>,</w:t>
      </w:r>
      <w:r w:rsidRPr="00060303">
        <w:t xml:space="preserve"> a za jego technologiczną i operacyjną obsługę odpowiada </w:t>
      </w:r>
      <w:proofErr w:type="spellStart"/>
      <w:r w:rsidR="009A49AB" w:rsidRPr="00060303">
        <w:t>Fiserv</w:t>
      </w:r>
      <w:proofErr w:type="spellEnd"/>
      <w:r w:rsidR="009A49AB" w:rsidRPr="00060303">
        <w:t xml:space="preserve"> Polska, właściciel marki </w:t>
      </w:r>
      <w:proofErr w:type="spellStart"/>
      <w:r w:rsidRPr="00060303">
        <w:t>PolCard</w:t>
      </w:r>
      <w:proofErr w:type="spellEnd"/>
      <w:r w:rsidR="009A49AB" w:rsidRPr="00060303">
        <w:t>.</w:t>
      </w:r>
      <w:r w:rsidRPr="00060303">
        <w:t xml:space="preserve"> Dane </w:t>
      </w:r>
      <w:r w:rsidR="00347D0A" w:rsidRPr="00060303">
        <w:t xml:space="preserve">BLIKA </w:t>
      </w:r>
      <w:r w:rsidRPr="00060303">
        <w:t>pokazują, że użytkownicy sięgają po tę opcję głównie wtedy, gdy chcą szybko uzupełnić gotówkę na bieżące wydatki. Średnio wypłaca</w:t>
      </w:r>
      <w:r w:rsidR="00836575" w:rsidRPr="00060303">
        <w:t>ją</w:t>
      </w:r>
      <w:r w:rsidRPr="00060303">
        <w:t xml:space="preserve"> w ten sposób około 140 zł, choć dostępne limity – sięgające w zależności od banku nawet 1000 zł – pozwalają na dużą swobodę w dopasowaniu kwoty do konkretnej sytuacji.</w:t>
      </w:r>
    </w:p>
    <w:p w14:paraId="038B3A92" w14:textId="4B8A898A" w:rsidR="004C58E9" w:rsidRPr="00060303" w:rsidRDefault="004C58E9" w:rsidP="008A60DB">
      <w:pPr>
        <w:jc w:val="both"/>
      </w:pPr>
      <w:r w:rsidRPr="00060303">
        <w:t xml:space="preserve">– </w:t>
      </w:r>
      <w:r w:rsidRPr="00060303">
        <w:rPr>
          <w:i/>
          <w:iCs/>
        </w:rPr>
        <w:t xml:space="preserve">W praktyce użytkownicy rzadko potrzebują „okrągłych” kwot. Czasem to 150 czy 200 zł, a czasem </w:t>
      </w:r>
      <w:r w:rsidR="00015466" w:rsidRPr="00060303">
        <w:rPr>
          <w:i/>
          <w:iCs/>
        </w:rPr>
        <w:t>chcą wypłacić</w:t>
      </w:r>
      <w:r w:rsidRPr="00060303">
        <w:rPr>
          <w:i/>
          <w:iCs/>
        </w:rPr>
        <w:t xml:space="preserve"> tyle, ile wynika z konkretnej sytuacji – jak </w:t>
      </w:r>
      <w:r w:rsidR="00F2353D" w:rsidRPr="00060303">
        <w:rPr>
          <w:i/>
          <w:iCs/>
        </w:rPr>
        <w:t>2</w:t>
      </w:r>
      <w:r w:rsidRPr="00060303">
        <w:rPr>
          <w:i/>
          <w:iCs/>
        </w:rPr>
        <w:t>6</w:t>
      </w:r>
      <w:r w:rsidR="00275465" w:rsidRPr="00060303">
        <w:rPr>
          <w:i/>
          <w:iCs/>
        </w:rPr>
        <w:t>0</w:t>
      </w:r>
      <w:r w:rsidRPr="00060303">
        <w:rPr>
          <w:i/>
          <w:iCs/>
        </w:rPr>
        <w:t xml:space="preserve"> zł na korepetycje czy </w:t>
      </w:r>
      <w:r w:rsidR="001B4135" w:rsidRPr="00060303">
        <w:rPr>
          <w:i/>
          <w:iCs/>
        </w:rPr>
        <w:t>31</w:t>
      </w:r>
      <w:r w:rsidRPr="00060303">
        <w:rPr>
          <w:i/>
          <w:iCs/>
        </w:rPr>
        <w:t>,</w:t>
      </w:r>
      <w:r w:rsidR="001B4135" w:rsidRPr="00060303">
        <w:rPr>
          <w:i/>
          <w:iCs/>
        </w:rPr>
        <w:t>4</w:t>
      </w:r>
      <w:r w:rsidRPr="00060303">
        <w:rPr>
          <w:i/>
          <w:iCs/>
        </w:rPr>
        <w:t xml:space="preserve">0 zł </w:t>
      </w:r>
      <w:r w:rsidR="001B4135" w:rsidRPr="00060303">
        <w:rPr>
          <w:i/>
          <w:iCs/>
        </w:rPr>
        <w:t>za opiekę nad zwierzęciem.</w:t>
      </w:r>
      <w:r w:rsidRPr="00060303">
        <w:rPr>
          <w:i/>
          <w:iCs/>
        </w:rPr>
        <w:t xml:space="preserve"> Przewagą </w:t>
      </w:r>
      <w:proofErr w:type="spellStart"/>
      <w:r w:rsidRPr="00060303">
        <w:rPr>
          <w:i/>
          <w:iCs/>
        </w:rPr>
        <w:t>cashbacku</w:t>
      </w:r>
      <w:proofErr w:type="spellEnd"/>
      <w:r w:rsidRPr="00060303">
        <w:rPr>
          <w:i/>
          <w:iCs/>
        </w:rPr>
        <w:t xml:space="preserve"> w terminalach </w:t>
      </w:r>
      <w:proofErr w:type="spellStart"/>
      <w:r w:rsidRPr="00060303">
        <w:rPr>
          <w:i/>
          <w:iCs/>
        </w:rPr>
        <w:t>PolCard</w:t>
      </w:r>
      <w:proofErr w:type="spellEnd"/>
      <w:r w:rsidRPr="00060303">
        <w:rPr>
          <w:i/>
          <w:iCs/>
        </w:rPr>
        <w:t xml:space="preserve"> jest także to, że zdejmuje z </w:t>
      </w:r>
      <w:r w:rsidR="00BC0A4A" w:rsidRPr="00060303">
        <w:rPr>
          <w:i/>
          <w:iCs/>
        </w:rPr>
        <w:lastRenderedPageBreak/>
        <w:t>konsumentów</w:t>
      </w:r>
      <w:r w:rsidRPr="00060303">
        <w:rPr>
          <w:i/>
          <w:iCs/>
        </w:rPr>
        <w:t xml:space="preserve"> konieczność logistyki i szukania maszyny. Dzięki </w:t>
      </w:r>
      <w:r w:rsidR="00974179" w:rsidRPr="00060303">
        <w:rPr>
          <w:i/>
          <w:iCs/>
        </w:rPr>
        <w:t>stale rosnącej</w:t>
      </w:r>
      <w:r w:rsidRPr="00060303">
        <w:rPr>
          <w:i/>
          <w:iCs/>
        </w:rPr>
        <w:t xml:space="preserve"> skali sieci wypłata gotówki przestaje być osobnym zadaniem do zaplanowania, a staje się naturalnym ruchem przy okazji zakupów. </w:t>
      </w:r>
      <w:r w:rsidR="0047455D" w:rsidRPr="00060303">
        <w:rPr>
          <w:i/>
          <w:iCs/>
        </w:rPr>
        <w:t>S</w:t>
      </w:r>
      <w:r w:rsidRPr="00060303">
        <w:rPr>
          <w:i/>
          <w:iCs/>
        </w:rPr>
        <w:t>klep na osiedlu przejmuje rolę bankomatu, dając pełną swobodę wypłacenia dokładnie takiej sumy, jakiej w danej chwili potrzebujemy</w:t>
      </w:r>
      <w:r w:rsidRPr="00060303">
        <w:t xml:space="preserve"> – </w:t>
      </w:r>
      <w:r w:rsidR="001B4135" w:rsidRPr="00060303">
        <w:rPr>
          <w:b/>
          <w:bCs/>
        </w:rPr>
        <w:t xml:space="preserve">Krzysztof </w:t>
      </w:r>
      <w:proofErr w:type="spellStart"/>
      <w:r w:rsidR="001B4135" w:rsidRPr="00060303">
        <w:rPr>
          <w:b/>
          <w:bCs/>
        </w:rPr>
        <w:t>Polończyk</w:t>
      </w:r>
      <w:proofErr w:type="spellEnd"/>
      <w:r w:rsidR="000F6803" w:rsidRPr="00060303">
        <w:t xml:space="preserve">, </w:t>
      </w:r>
      <w:r w:rsidR="001B4135" w:rsidRPr="00060303">
        <w:t xml:space="preserve">prezes zarządu </w:t>
      </w:r>
      <w:proofErr w:type="spellStart"/>
      <w:r w:rsidR="000F6803" w:rsidRPr="00060303">
        <w:t>Fiserv</w:t>
      </w:r>
      <w:proofErr w:type="spellEnd"/>
      <w:r w:rsidR="000F6803" w:rsidRPr="00060303">
        <w:t xml:space="preserve"> Polska, właściciela marki </w:t>
      </w:r>
      <w:proofErr w:type="spellStart"/>
      <w:r w:rsidR="000F6803" w:rsidRPr="00060303">
        <w:t>PolCard</w:t>
      </w:r>
      <w:proofErr w:type="spellEnd"/>
      <w:r w:rsidR="000F6803" w:rsidRPr="00060303">
        <w:t>.</w:t>
      </w:r>
    </w:p>
    <w:p w14:paraId="30842AD3" w14:textId="77777777" w:rsidR="002E751B" w:rsidRPr="00060303" w:rsidRDefault="002E751B" w:rsidP="002E751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 w:cs="Calibri"/>
          <w:color w:val="000000"/>
          <w:sz w:val="18"/>
          <w:szCs w:val="18"/>
        </w:rPr>
      </w:pPr>
      <w:r w:rsidRPr="00060303">
        <w:rPr>
          <w:rStyle w:val="normaltextrun"/>
          <w:rFonts w:ascii="Aptos" w:hAnsi="Aptos" w:cs="Calibri"/>
          <w:color w:val="000000"/>
          <w:sz w:val="18"/>
          <w:szCs w:val="18"/>
        </w:rPr>
        <w:t>***</w:t>
      </w:r>
      <w:r w:rsidRPr="00060303">
        <w:rPr>
          <w:rStyle w:val="eop"/>
          <w:rFonts w:ascii="Aptos" w:hAnsi="Aptos" w:cs="Calibri"/>
          <w:color w:val="000000"/>
          <w:sz w:val="18"/>
          <w:szCs w:val="18"/>
        </w:rPr>
        <w:t> </w:t>
      </w:r>
    </w:p>
    <w:p w14:paraId="596BA715" w14:textId="77777777" w:rsidR="002E751B" w:rsidRPr="00060303" w:rsidRDefault="002E751B" w:rsidP="002E751B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color w:val="000000"/>
          <w:sz w:val="18"/>
          <w:szCs w:val="18"/>
        </w:rPr>
      </w:pPr>
    </w:p>
    <w:p w14:paraId="11F5C6F2" w14:textId="77777777" w:rsidR="002E751B" w:rsidRPr="00060303" w:rsidRDefault="002E751B" w:rsidP="002E751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000000"/>
          <w:sz w:val="18"/>
          <w:szCs w:val="18"/>
        </w:rPr>
      </w:pPr>
      <w:r w:rsidRPr="00060303">
        <w:rPr>
          <w:rStyle w:val="normaltextrun"/>
          <w:rFonts w:ascii="Aptos" w:hAnsi="Aptos" w:cs="Calibri"/>
          <w:b/>
          <w:bCs/>
          <w:color w:val="000000"/>
          <w:sz w:val="18"/>
          <w:szCs w:val="18"/>
          <w:lang w:val="da-DK"/>
        </w:rPr>
        <w:t>BLIK</w:t>
      </w:r>
      <w:r w:rsidRPr="00060303">
        <w:rPr>
          <w:rStyle w:val="normaltextrun"/>
          <w:rFonts w:ascii="Aptos" w:hAnsi="Aptos" w:cs="Calibri"/>
          <w:color w:val="000000"/>
          <w:sz w:val="18"/>
          <w:szCs w:val="18"/>
        </w:rPr>
        <w:t xml:space="preserve"> to powszechny standard płatności mobilnych. Możliwość skorzystania z BLIKA w aplikacjach bankowości mobilnej ma obecnie praktycznie każdy z klient</w:t>
      </w:r>
      <w:r w:rsidRPr="00060303">
        <w:rPr>
          <w:rStyle w:val="normaltextrun"/>
          <w:rFonts w:ascii="Aptos" w:hAnsi="Aptos" w:cs="Calibri"/>
          <w:color w:val="000000"/>
          <w:sz w:val="18"/>
          <w:szCs w:val="18"/>
          <w:lang w:val="es-ES"/>
        </w:rPr>
        <w:t>ó</w:t>
      </w:r>
      <w:r w:rsidRPr="00060303">
        <w:rPr>
          <w:rStyle w:val="normaltextrun"/>
          <w:rFonts w:ascii="Aptos" w:hAnsi="Aptos" w:cs="Calibri"/>
          <w:color w:val="000000"/>
          <w:sz w:val="18"/>
          <w:szCs w:val="18"/>
        </w:rPr>
        <w:t xml:space="preserve">w krajowych instytucji płatniczych oferujących aplikację mobilną. Za </w:t>
      </w:r>
      <w:proofErr w:type="spellStart"/>
      <w:r w:rsidRPr="00060303">
        <w:rPr>
          <w:rStyle w:val="normaltextrun"/>
          <w:rFonts w:ascii="Aptos" w:hAnsi="Aptos" w:cs="Calibri"/>
          <w:color w:val="000000"/>
          <w:sz w:val="18"/>
          <w:szCs w:val="18"/>
        </w:rPr>
        <w:t>rozw</w:t>
      </w:r>
      <w:r w:rsidRPr="00060303">
        <w:rPr>
          <w:rStyle w:val="normaltextrun"/>
          <w:rFonts w:ascii="Aptos" w:hAnsi="Aptos" w:cs="Calibri"/>
          <w:color w:val="000000"/>
          <w:sz w:val="18"/>
          <w:szCs w:val="18"/>
          <w:lang w:val="es-ES"/>
        </w:rPr>
        <w:t>ó</w:t>
      </w:r>
      <w:proofErr w:type="spellEnd"/>
      <w:r w:rsidRPr="00060303">
        <w:rPr>
          <w:rStyle w:val="normaltextrun"/>
          <w:rFonts w:ascii="Aptos" w:hAnsi="Aptos" w:cs="Calibri"/>
          <w:color w:val="000000"/>
          <w:sz w:val="18"/>
          <w:szCs w:val="18"/>
        </w:rPr>
        <w:t>j systemu odpowiada spółka Polski Standard Płatności (PSP). PSP stale rozwija możliwości BLIKA tak, aby system był jak najbardziej funkcjonalny dla jego użytkownik</w:t>
      </w:r>
      <w:r w:rsidRPr="00060303">
        <w:rPr>
          <w:rStyle w:val="normaltextrun"/>
          <w:rFonts w:ascii="Aptos" w:hAnsi="Aptos" w:cs="Calibri"/>
          <w:color w:val="000000"/>
          <w:sz w:val="18"/>
          <w:szCs w:val="18"/>
          <w:lang w:val="es-ES"/>
        </w:rPr>
        <w:t>ó</w:t>
      </w:r>
      <w:r w:rsidRPr="00060303">
        <w:rPr>
          <w:rStyle w:val="normaltextrun"/>
          <w:rFonts w:ascii="Aptos" w:hAnsi="Aptos" w:cs="Calibri"/>
          <w:color w:val="000000"/>
          <w:sz w:val="18"/>
          <w:szCs w:val="18"/>
        </w:rPr>
        <w:t>w. Udziałowcami spółki PSP są</w:t>
      </w:r>
      <w:r w:rsidRPr="00060303">
        <w:rPr>
          <w:rStyle w:val="normaltextrun"/>
          <w:rFonts w:ascii="Aptos" w:hAnsi="Aptos" w:cs="Calibri"/>
          <w:color w:val="000000"/>
          <w:sz w:val="18"/>
          <w:szCs w:val="18"/>
          <w:lang w:val="it-IT"/>
        </w:rPr>
        <w:t xml:space="preserve">: Alior Bank, Bank Millennium, Santander Bank Polska, ING Bank </w:t>
      </w:r>
      <w:r w:rsidRPr="00060303">
        <w:rPr>
          <w:rStyle w:val="normaltextrun"/>
          <w:rFonts w:ascii="Aptos" w:hAnsi="Aptos" w:cs="Calibri"/>
          <w:color w:val="000000"/>
          <w:sz w:val="18"/>
          <w:szCs w:val="18"/>
        </w:rPr>
        <w:t>Śląski, mBank, PKO Bank Polski oraz Mastercard.</w:t>
      </w:r>
      <w:r w:rsidRPr="00060303">
        <w:rPr>
          <w:rStyle w:val="eop"/>
          <w:rFonts w:ascii="Aptos" w:hAnsi="Aptos" w:cs="Calibri"/>
          <w:color w:val="000000"/>
          <w:sz w:val="18"/>
          <w:szCs w:val="18"/>
        </w:rPr>
        <w:t> </w:t>
      </w:r>
    </w:p>
    <w:p w14:paraId="1CDDDE20" w14:textId="77777777" w:rsidR="002E751B" w:rsidRPr="00060303" w:rsidRDefault="002E751B" w:rsidP="002E751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Calibri"/>
          <w:color w:val="000000"/>
          <w:sz w:val="20"/>
          <w:szCs w:val="20"/>
        </w:rPr>
      </w:pPr>
      <w:r w:rsidRPr="00060303">
        <w:rPr>
          <w:rStyle w:val="eop"/>
          <w:rFonts w:ascii="Aptos" w:hAnsi="Aptos" w:cs="Calibri"/>
          <w:color w:val="000000"/>
          <w:sz w:val="20"/>
          <w:szCs w:val="20"/>
        </w:rPr>
        <w:t> </w:t>
      </w:r>
    </w:p>
    <w:p w14:paraId="069F2B8C" w14:textId="77777777" w:rsidR="002E751B" w:rsidRPr="00060303" w:rsidRDefault="002E751B" w:rsidP="002E751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000000"/>
          <w:sz w:val="18"/>
          <w:szCs w:val="18"/>
        </w:rPr>
      </w:pPr>
    </w:p>
    <w:p w14:paraId="23565CFF" w14:textId="77777777" w:rsidR="002E751B" w:rsidRPr="00060303" w:rsidRDefault="002E751B" w:rsidP="002E751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Calibri"/>
          <w:color w:val="000000"/>
          <w:sz w:val="18"/>
          <w:szCs w:val="18"/>
        </w:rPr>
      </w:pPr>
      <w:r w:rsidRPr="00060303">
        <w:rPr>
          <w:rStyle w:val="normaltextrun"/>
          <w:rFonts w:ascii="Aptos" w:hAnsi="Aptos" w:cs="Calibri"/>
          <w:b/>
          <w:bCs/>
          <w:color w:val="000000"/>
          <w:sz w:val="18"/>
          <w:szCs w:val="18"/>
        </w:rPr>
        <w:t xml:space="preserve">Kontakt dla </w:t>
      </w:r>
      <w:proofErr w:type="spellStart"/>
      <w:r w:rsidRPr="00060303">
        <w:rPr>
          <w:rStyle w:val="normaltextrun"/>
          <w:rFonts w:ascii="Aptos" w:hAnsi="Aptos" w:cs="Calibri"/>
          <w:b/>
          <w:bCs/>
          <w:color w:val="000000"/>
          <w:sz w:val="18"/>
          <w:szCs w:val="18"/>
        </w:rPr>
        <w:t>medi</w:t>
      </w:r>
      <w:r w:rsidRPr="00060303">
        <w:rPr>
          <w:rStyle w:val="normaltextrun"/>
          <w:rFonts w:ascii="Aptos" w:hAnsi="Aptos" w:cs="Calibri"/>
          <w:b/>
          <w:bCs/>
          <w:color w:val="000000"/>
          <w:sz w:val="18"/>
          <w:szCs w:val="18"/>
          <w:lang w:val="es-ES"/>
        </w:rPr>
        <w:t>ó</w:t>
      </w:r>
      <w:proofErr w:type="spellEnd"/>
      <w:r w:rsidRPr="00060303">
        <w:rPr>
          <w:rStyle w:val="normaltextrun"/>
          <w:rFonts w:ascii="Aptos" w:hAnsi="Aptos" w:cs="Calibri"/>
          <w:b/>
          <w:bCs/>
          <w:color w:val="000000"/>
          <w:sz w:val="18"/>
          <w:szCs w:val="18"/>
        </w:rPr>
        <w:t>w:</w:t>
      </w:r>
      <w:r w:rsidRPr="00060303">
        <w:rPr>
          <w:rStyle w:val="eop"/>
          <w:rFonts w:ascii="Aptos" w:hAnsi="Aptos" w:cs="Calibri"/>
          <w:color w:val="000000"/>
          <w:sz w:val="18"/>
          <w:szCs w:val="18"/>
        </w:rPr>
        <w:t> </w:t>
      </w:r>
    </w:p>
    <w:p w14:paraId="433A72E3" w14:textId="77777777" w:rsidR="002E751B" w:rsidRPr="00060303" w:rsidRDefault="002E751B" w:rsidP="002E751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000000"/>
          <w:sz w:val="18"/>
          <w:szCs w:val="18"/>
        </w:rPr>
      </w:pPr>
    </w:p>
    <w:p w14:paraId="3456368C" w14:textId="77777777" w:rsidR="002E751B" w:rsidRPr="00060303" w:rsidRDefault="002E751B" w:rsidP="002E751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000000"/>
          <w:sz w:val="18"/>
          <w:szCs w:val="18"/>
        </w:rPr>
      </w:pPr>
      <w:r w:rsidRPr="00060303">
        <w:rPr>
          <w:rStyle w:val="normaltextrun"/>
          <w:rFonts w:ascii="Aptos" w:hAnsi="Aptos" w:cs="Calibri"/>
          <w:color w:val="000000"/>
          <w:sz w:val="18"/>
          <w:szCs w:val="18"/>
          <w:lang w:val="it-IT"/>
        </w:rPr>
        <w:t>Klaudia Rombalska</w:t>
      </w:r>
      <w:r w:rsidRPr="00060303">
        <w:rPr>
          <w:rStyle w:val="eop"/>
          <w:rFonts w:ascii="Aptos" w:hAnsi="Aptos" w:cs="Calibri"/>
          <w:color w:val="000000"/>
          <w:sz w:val="18"/>
          <w:szCs w:val="18"/>
        </w:rPr>
        <w:t> </w:t>
      </w:r>
    </w:p>
    <w:p w14:paraId="6A7768A8" w14:textId="77777777" w:rsidR="002E751B" w:rsidRPr="00060303" w:rsidRDefault="002E751B" w:rsidP="002E751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000000"/>
          <w:sz w:val="18"/>
          <w:szCs w:val="18"/>
        </w:rPr>
      </w:pPr>
      <w:r w:rsidRPr="00060303">
        <w:rPr>
          <w:rStyle w:val="normaltextrun"/>
          <w:rFonts w:ascii="Aptos" w:hAnsi="Aptos" w:cs="Calibri"/>
          <w:color w:val="000000"/>
          <w:sz w:val="18"/>
          <w:szCs w:val="18"/>
        </w:rPr>
        <w:t>Biuro prasowe BLIKA</w:t>
      </w:r>
      <w:r w:rsidRPr="00060303">
        <w:rPr>
          <w:rStyle w:val="eop"/>
          <w:rFonts w:ascii="Aptos" w:hAnsi="Aptos" w:cs="Calibri"/>
          <w:color w:val="000000"/>
          <w:sz w:val="18"/>
          <w:szCs w:val="18"/>
        </w:rPr>
        <w:t> </w:t>
      </w:r>
    </w:p>
    <w:p w14:paraId="01F6E008" w14:textId="77777777" w:rsidR="002E751B" w:rsidRPr="00A66984" w:rsidRDefault="002E751B" w:rsidP="002E751B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18"/>
          <w:szCs w:val="18"/>
        </w:rPr>
      </w:pPr>
      <w:r w:rsidRPr="00060303">
        <w:rPr>
          <w:rStyle w:val="normaltextrun"/>
          <w:rFonts w:ascii="Aptos" w:hAnsi="Aptos" w:cs="Calibri"/>
          <w:color w:val="0563C1"/>
          <w:sz w:val="18"/>
          <w:szCs w:val="18"/>
          <w:u w:val="single"/>
          <w:lang w:val="it-IT"/>
        </w:rPr>
        <w:t>klaudia.rombalska@clearcom.pl</w:t>
      </w:r>
      <w:r w:rsidRPr="00A66984">
        <w:rPr>
          <w:rStyle w:val="normaltextrun"/>
          <w:rFonts w:ascii="Aptos" w:hAnsi="Aptos" w:cs="Calibri"/>
          <w:color w:val="000000"/>
          <w:sz w:val="18"/>
          <w:szCs w:val="18"/>
          <w:lang w:val="de-DE"/>
        </w:rPr>
        <w:t> </w:t>
      </w:r>
      <w:r w:rsidRPr="00A66984">
        <w:rPr>
          <w:rStyle w:val="eop"/>
          <w:rFonts w:ascii="Aptos" w:hAnsi="Aptos" w:cs="Calibri"/>
          <w:color w:val="000000"/>
          <w:sz w:val="18"/>
          <w:szCs w:val="18"/>
        </w:rPr>
        <w:t> </w:t>
      </w:r>
    </w:p>
    <w:p w14:paraId="76FD5511" w14:textId="77777777" w:rsidR="002E751B" w:rsidRPr="004A196A" w:rsidRDefault="002E751B" w:rsidP="002E751B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18"/>
          <w:szCs w:val="18"/>
        </w:rPr>
      </w:pPr>
      <w:r w:rsidRPr="004A196A">
        <w:rPr>
          <w:rStyle w:val="eop"/>
          <w:rFonts w:ascii="Aptos" w:hAnsi="Aptos" w:cs="Calibri"/>
          <w:color w:val="000000"/>
          <w:sz w:val="22"/>
          <w:szCs w:val="22"/>
        </w:rPr>
        <w:t> </w:t>
      </w:r>
    </w:p>
    <w:p w14:paraId="673C564F" w14:textId="77777777" w:rsidR="008A60DB" w:rsidRDefault="008A60DB" w:rsidP="008A60DB">
      <w:pPr>
        <w:jc w:val="both"/>
      </w:pPr>
    </w:p>
    <w:p w14:paraId="7F01BF7B" w14:textId="5DE05C70" w:rsidR="006F7943" w:rsidRDefault="006F7943" w:rsidP="008A60DB">
      <w:pPr>
        <w:jc w:val="both"/>
      </w:pPr>
    </w:p>
    <w:p w14:paraId="36307915" w14:textId="3424ADC5" w:rsidR="00BE42BF" w:rsidRDefault="00BE42BF" w:rsidP="001813C3"/>
    <w:sectPr w:rsidR="00BE42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ACA2" w14:textId="77777777" w:rsidR="00974E1E" w:rsidRDefault="00974E1E" w:rsidP="009E5FBC">
      <w:pPr>
        <w:spacing w:after="0" w:line="240" w:lineRule="auto"/>
      </w:pPr>
      <w:r>
        <w:separator/>
      </w:r>
    </w:p>
  </w:endnote>
  <w:endnote w:type="continuationSeparator" w:id="0">
    <w:p w14:paraId="0C420E36" w14:textId="77777777" w:rsidR="00974E1E" w:rsidRDefault="00974E1E" w:rsidP="009E5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39490" w14:textId="77777777" w:rsidR="00974E1E" w:rsidRDefault="00974E1E" w:rsidP="009E5FBC">
      <w:pPr>
        <w:spacing w:after="0" w:line="240" w:lineRule="auto"/>
      </w:pPr>
      <w:r>
        <w:separator/>
      </w:r>
    </w:p>
  </w:footnote>
  <w:footnote w:type="continuationSeparator" w:id="0">
    <w:p w14:paraId="4122522D" w14:textId="77777777" w:rsidR="00974E1E" w:rsidRDefault="00974E1E" w:rsidP="009E5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7C5F" w14:textId="5210F3E9" w:rsidR="009E5FBC" w:rsidRDefault="009E5FB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76785F4" wp14:editId="6F6A1A18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1811655" cy="1095375"/>
          <wp:effectExtent l="0" t="0" r="0" b="0"/>
          <wp:wrapNone/>
          <wp:docPr id="9" name="Obraz 9" descr="Obraz zawierający symbol, zrzut ekranu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Obraz zawierający symbol, zrzut ekranu, Grafi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E33FD4D" w14:textId="42AD3478" w:rsidR="009E5FBC" w:rsidRDefault="009E5FBC">
    <w:pPr>
      <w:pStyle w:val="Nagwek"/>
    </w:pPr>
  </w:p>
  <w:p w14:paraId="2D948340" w14:textId="77777777" w:rsidR="009E5FBC" w:rsidRDefault="009E5FBC">
    <w:pPr>
      <w:pStyle w:val="Nagwek"/>
    </w:pPr>
  </w:p>
  <w:p w14:paraId="018382AF" w14:textId="77777777" w:rsidR="009E5FBC" w:rsidRDefault="009E5FBC">
    <w:pPr>
      <w:pStyle w:val="Nagwek"/>
    </w:pPr>
  </w:p>
  <w:p w14:paraId="32D5F2A5" w14:textId="330E9904" w:rsidR="009E5FBC" w:rsidRDefault="009E5FB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0802897C" wp14:editId="772BD874">
          <wp:simplePos x="0" y="0"/>
          <wp:positionH relativeFrom="margin">
            <wp:posOffset>4723130</wp:posOffset>
          </wp:positionH>
          <wp:positionV relativeFrom="topMargin">
            <wp:posOffset>449580</wp:posOffset>
          </wp:positionV>
          <wp:extent cx="1037590" cy="559435"/>
          <wp:effectExtent l="0" t="0" r="0" b="0"/>
          <wp:wrapSquare wrapText="bothSides"/>
          <wp:docPr id="10" name="Obraz 10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Obraz zawierający logo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590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BF"/>
    <w:rsid w:val="00000799"/>
    <w:rsid w:val="00006AE8"/>
    <w:rsid w:val="0001497B"/>
    <w:rsid w:val="00015466"/>
    <w:rsid w:val="0001639F"/>
    <w:rsid w:val="00016B8E"/>
    <w:rsid w:val="000230EC"/>
    <w:rsid w:val="000266A6"/>
    <w:rsid w:val="000523B9"/>
    <w:rsid w:val="00056206"/>
    <w:rsid w:val="00060303"/>
    <w:rsid w:val="00061FDD"/>
    <w:rsid w:val="000728F3"/>
    <w:rsid w:val="00093A84"/>
    <w:rsid w:val="000955BE"/>
    <w:rsid w:val="00096336"/>
    <w:rsid w:val="000C2CFE"/>
    <w:rsid w:val="000C2E63"/>
    <w:rsid w:val="000C554D"/>
    <w:rsid w:val="000D0CB1"/>
    <w:rsid w:val="000D205E"/>
    <w:rsid w:val="000F6803"/>
    <w:rsid w:val="00101C17"/>
    <w:rsid w:val="0011117D"/>
    <w:rsid w:val="00112BB1"/>
    <w:rsid w:val="001232E0"/>
    <w:rsid w:val="00132383"/>
    <w:rsid w:val="00135710"/>
    <w:rsid w:val="00146DF1"/>
    <w:rsid w:val="0015632B"/>
    <w:rsid w:val="00166CDB"/>
    <w:rsid w:val="00173D28"/>
    <w:rsid w:val="0017692F"/>
    <w:rsid w:val="00177640"/>
    <w:rsid w:val="001813C3"/>
    <w:rsid w:val="0019441C"/>
    <w:rsid w:val="001978E5"/>
    <w:rsid w:val="001B1E37"/>
    <w:rsid w:val="001B4135"/>
    <w:rsid w:val="001B4B0C"/>
    <w:rsid w:val="001B74A2"/>
    <w:rsid w:val="001D4278"/>
    <w:rsid w:val="001D529D"/>
    <w:rsid w:val="001E3F38"/>
    <w:rsid w:val="00203F95"/>
    <w:rsid w:val="002147B2"/>
    <w:rsid w:val="00231CA2"/>
    <w:rsid w:val="002339B4"/>
    <w:rsid w:val="00236D84"/>
    <w:rsid w:val="002423EE"/>
    <w:rsid w:val="00245FC3"/>
    <w:rsid w:val="00260F93"/>
    <w:rsid w:val="00275465"/>
    <w:rsid w:val="00276804"/>
    <w:rsid w:val="002829E0"/>
    <w:rsid w:val="002A49A5"/>
    <w:rsid w:val="002A56C3"/>
    <w:rsid w:val="002B31AA"/>
    <w:rsid w:val="002C22A3"/>
    <w:rsid w:val="002C5D1D"/>
    <w:rsid w:val="002D02BA"/>
    <w:rsid w:val="002D6420"/>
    <w:rsid w:val="002D723B"/>
    <w:rsid w:val="002E751B"/>
    <w:rsid w:val="002F5DF9"/>
    <w:rsid w:val="002F7906"/>
    <w:rsid w:val="0030597F"/>
    <w:rsid w:val="00307BDE"/>
    <w:rsid w:val="0031224A"/>
    <w:rsid w:val="00314F4D"/>
    <w:rsid w:val="00320B99"/>
    <w:rsid w:val="00345E22"/>
    <w:rsid w:val="00346260"/>
    <w:rsid w:val="00347D0A"/>
    <w:rsid w:val="00357DD3"/>
    <w:rsid w:val="00375E8F"/>
    <w:rsid w:val="00377858"/>
    <w:rsid w:val="00383B9F"/>
    <w:rsid w:val="003938A8"/>
    <w:rsid w:val="00396F9D"/>
    <w:rsid w:val="0039750F"/>
    <w:rsid w:val="003A56BD"/>
    <w:rsid w:val="003B68D7"/>
    <w:rsid w:val="003D18F9"/>
    <w:rsid w:val="003D7699"/>
    <w:rsid w:val="003E153B"/>
    <w:rsid w:val="003F11A3"/>
    <w:rsid w:val="003F3720"/>
    <w:rsid w:val="003F5594"/>
    <w:rsid w:val="00406AE5"/>
    <w:rsid w:val="00407606"/>
    <w:rsid w:val="004179E5"/>
    <w:rsid w:val="00444195"/>
    <w:rsid w:val="00456A22"/>
    <w:rsid w:val="004633D2"/>
    <w:rsid w:val="00466F4E"/>
    <w:rsid w:val="00472989"/>
    <w:rsid w:val="0047455D"/>
    <w:rsid w:val="004800F1"/>
    <w:rsid w:val="004A27F7"/>
    <w:rsid w:val="004A35B4"/>
    <w:rsid w:val="004B2258"/>
    <w:rsid w:val="004B5FF8"/>
    <w:rsid w:val="004C58E9"/>
    <w:rsid w:val="004C672F"/>
    <w:rsid w:val="004D5B05"/>
    <w:rsid w:val="004E18BA"/>
    <w:rsid w:val="004E3E6B"/>
    <w:rsid w:val="004F0E70"/>
    <w:rsid w:val="004F2EBB"/>
    <w:rsid w:val="00506DB6"/>
    <w:rsid w:val="0053082A"/>
    <w:rsid w:val="005356DA"/>
    <w:rsid w:val="00544F8A"/>
    <w:rsid w:val="00552160"/>
    <w:rsid w:val="00552862"/>
    <w:rsid w:val="00552EB0"/>
    <w:rsid w:val="00561C15"/>
    <w:rsid w:val="00572201"/>
    <w:rsid w:val="00576D08"/>
    <w:rsid w:val="00577FED"/>
    <w:rsid w:val="0058513C"/>
    <w:rsid w:val="005864C5"/>
    <w:rsid w:val="005A4C0F"/>
    <w:rsid w:val="005A512A"/>
    <w:rsid w:val="005A638D"/>
    <w:rsid w:val="005A69D3"/>
    <w:rsid w:val="005C338F"/>
    <w:rsid w:val="005C708C"/>
    <w:rsid w:val="005D2FC9"/>
    <w:rsid w:val="005F4C28"/>
    <w:rsid w:val="00602B36"/>
    <w:rsid w:val="006151D7"/>
    <w:rsid w:val="00615E88"/>
    <w:rsid w:val="0062056C"/>
    <w:rsid w:val="00620BE3"/>
    <w:rsid w:val="00636510"/>
    <w:rsid w:val="00641079"/>
    <w:rsid w:val="00687D16"/>
    <w:rsid w:val="00696FF3"/>
    <w:rsid w:val="006A5B89"/>
    <w:rsid w:val="006A6CD6"/>
    <w:rsid w:val="006D1EDE"/>
    <w:rsid w:val="006D6E2C"/>
    <w:rsid w:val="006E7963"/>
    <w:rsid w:val="006F516A"/>
    <w:rsid w:val="006F7943"/>
    <w:rsid w:val="00702D32"/>
    <w:rsid w:val="00717315"/>
    <w:rsid w:val="00720C6F"/>
    <w:rsid w:val="00720CB5"/>
    <w:rsid w:val="0073413B"/>
    <w:rsid w:val="007533AA"/>
    <w:rsid w:val="007727DD"/>
    <w:rsid w:val="0079782D"/>
    <w:rsid w:val="007A4A16"/>
    <w:rsid w:val="007B2087"/>
    <w:rsid w:val="007B5590"/>
    <w:rsid w:val="007B7506"/>
    <w:rsid w:val="007E6D59"/>
    <w:rsid w:val="007F0008"/>
    <w:rsid w:val="007F0721"/>
    <w:rsid w:val="00801B50"/>
    <w:rsid w:val="00817BBD"/>
    <w:rsid w:val="00836575"/>
    <w:rsid w:val="00845F70"/>
    <w:rsid w:val="00851C8C"/>
    <w:rsid w:val="0085589D"/>
    <w:rsid w:val="00856280"/>
    <w:rsid w:val="008A4C71"/>
    <w:rsid w:val="008A60DB"/>
    <w:rsid w:val="008B18D9"/>
    <w:rsid w:val="008B7A4F"/>
    <w:rsid w:val="008C7CD8"/>
    <w:rsid w:val="008F0712"/>
    <w:rsid w:val="008F1739"/>
    <w:rsid w:val="008F6651"/>
    <w:rsid w:val="008F7233"/>
    <w:rsid w:val="00903C4E"/>
    <w:rsid w:val="009172D2"/>
    <w:rsid w:val="0092215D"/>
    <w:rsid w:val="00933914"/>
    <w:rsid w:val="009459A4"/>
    <w:rsid w:val="0095436D"/>
    <w:rsid w:val="00955AC4"/>
    <w:rsid w:val="00957835"/>
    <w:rsid w:val="00974179"/>
    <w:rsid w:val="00974E1E"/>
    <w:rsid w:val="00992DF1"/>
    <w:rsid w:val="009964F5"/>
    <w:rsid w:val="009A3B40"/>
    <w:rsid w:val="009A49AB"/>
    <w:rsid w:val="009C3561"/>
    <w:rsid w:val="009D0893"/>
    <w:rsid w:val="009D0EAA"/>
    <w:rsid w:val="009D2ABA"/>
    <w:rsid w:val="009E0FEA"/>
    <w:rsid w:val="009E31EA"/>
    <w:rsid w:val="009E5FBC"/>
    <w:rsid w:val="00A0119C"/>
    <w:rsid w:val="00A01C51"/>
    <w:rsid w:val="00A03943"/>
    <w:rsid w:val="00A119D3"/>
    <w:rsid w:val="00A241B3"/>
    <w:rsid w:val="00A54A89"/>
    <w:rsid w:val="00A76ECD"/>
    <w:rsid w:val="00A87B14"/>
    <w:rsid w:val="00A87D32"/>
    <w:rsid w:val="00AB03F8"/>
    <w:rsid w:val="00AB71D9"/>
    <w:rsid w:val="00AD1768"/>
    <w:rsid w:val="00AD251A"/>
    <w:rsid w:val="00AD54BA"/>
    <w:rsid w:val="00AE2B80"/>
    <w:rsid w:val="00AE3126"/>
    <w:rsid w:val="00B01DF0"/>
    <w:rsid w:val="00B05DE3"/>
    <w:rsid w:val="00B07F59"/>
    <w:rsid w:val="00B147C5"/>
    <w:rsid w:val="00B16A46"/>
    <w:rsid w:val="00B21D62"/>
    <w:rsid w:val="00B2790A"/>
    <w:rsid w:val="00B41320"/>
    <w:rsid w:val="00B50A4C"/>
    <w:rsid w:val="00B53CD3"/>
    <w:rsid w:val="00B54152"/>
    <w:rsid w:val="00B70581"/>
    <w:rsid w:val="00B7688F"/>
    <w:rsid w:val="00B964B0"/>
    <w:rsid w:val="00BB2E0D"/>
    <w:rsid w:val="00BC0A4A"/>
    <w:rsid w:val="00BD5DBB"/>
    <w:rsid w:val="00BE0375"/>
    <w:rsid w:val="00BE4204"/>
    <w:rsid w:val="00BE42BF"/>
    <w:rsid w:val="00C33081"/>
    <w:rsid w:val="00C33AEF"/>
    <w:rsid w:val="00C35B17"/>
    <w:rsid w:val="00C362C0"/>
    <w:rsid w:val="00C4530B"/>
    <w:rsid w:val="00C50C6D"/>
    <w:rsid w:val="00C52CCC"/>
    <w:rsid w:val="00C575E9"/>
    <w:rsid w:val="00C57B51"/>
    <w:rsid w:val="00C615B9"/>
    <w:rsid w:val="00C65849"/>
    <w:rsid w:val="00C66D31"/>
    <w:rsid w:val="00CA5858"/>
    <w:rsid w:val="00CB41E6"/>
    <w:rsid w:val="00CB55B7"/>
    <w:rsid w:val="00CB7CEB"/>
    <w:rsid w:val="00CC50C7"/>
    <w:rsid w:val="00CE5033"/>
    <w:rsid w:val="00CF2692"/>
    <w:rsid w:val="00CF4F47"/>
    <w:rsid w:val="00D029DA"/>
    <w:rsid w:val="00D14F1F"/>
    <w:rsid w:val="00D16FA8"/>
    <w:rsid w:val="00D2334C"/>
    <w:rsid w:val="00D25449"/>
    <w:rsid w:val="00D36155"/>
    <w:rsid w:val="00D433E8"/>
    <w:rsid w:val="00D44AAC"/>
    <w:rsid w:val="00D475C9"/>
    <w:rsid w:val="00D506CC"/>
    <w:rsid w:val="00D551CD"/>
    <w:rsid w:val="00D65F40"/>
    <w:rsid w:val="00D67DCD"/>
    <w:rsid w:val="00D965D1"/>
    <w:rsid w:val="00DA4D89"/>
    <w:rsid w:val="00DA57F3"/>
    <w:rsid w:val="00DA6234"/>
    <w:rsid w:val="00DB4DAF"/>
    <w:rsid w:val="00DC6D81"/>
    <w:rsid w:val="00DD2D84"/>
    <w:rsid w:val="00DE30E4"/>
    <w:rsid w:val="00DF06B4"/>
    <w:rsid w:val="00E642B4"/>
    <w:rsid w:val="00E672D8"/>
    <w:rsid w:val="00E77675"/>
    <w:rsid w:val="00EA7753"/>
    <w:rsid w:val="00EB20EB"/>
    <w:rsid w:val="00EB7DD1"/>
    <w:rsid w:val="00EC028D"/>
    <w:rsid w:val="00EC1B79"/>
    <w:rsid w:val="00ED0429"/>
    <w:rsid w:val="00ED20E1"/>
    <w:rsid w:val="00ED4DCE"/>
    <w:rsid w:val="00ED708C"/>
    <w:rsid w:val="00EF6930"/>
    <w:rsid w:val="00F04411"/>
    <w:rsid w:val="00F052E0"/>
    <w:rsid w:val="00F06DA1"/>
    <w:rsid w:val="00F222A8"/>
    <w:rsid w:val="00F2353D"/>
    <w:rsid w:val="00F23663"/>
    <w:rsid w:val="00F23EF8"/>
    <w:rsid w:val="00F44F8F"/>
    <w:rsid w:val="00F52ADF"/>
    <w:rsid w:val="00F53DBF"/>
    <w:rsid w:val="00F645E4"/>
    <w:rsid w:val="00F66E0F"/>
    <w:rsid w:val="00F761EC"/>
    <w:rsid w:val="00F8098E"/>
    <w:rsid w:val="00FC0503"/>
    <w:rsid w:val="00FE0EF3"/>
    <w:rsid w:val="00FE2FA6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D00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4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4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4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4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4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4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4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4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4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4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4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4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42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42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42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42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42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42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4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4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4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4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4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42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42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42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4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42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42BF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62056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7B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7B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7B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7B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7B1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E5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FBC"/>
  </w:style>
  <w:style w:type="paragraph" w:styleId="Stopka">
    <w:name w:val="footer"/>
    <w:basedOn w:val="Normalny"/>
    <w:link w:val="StopkaZnak"/>
    <w:uiPriority w:val="99"/>
    <w:unhideWhenUsed/>
    <w:rsid w:val="009E5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FBC"/>
  </w:style>
  <w:style w:type="paragraph" w:customStyle="1" w:styleId="paragraph">
    <w:name w:val="paragraph"/>
    <w:basedOn w:val="Normalny"/>
    <w:rsid w:val="002E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2E751B"/>
  </w:style>
  <w:style w:type="character" w:customStyle="1" w:styleId="eop">
    <w:name w:val="eop"/>
    <w:basedOn w:val="Domylnaczcionkaakapitu"/>
    <w:rsid w:val="002E7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d4eedba06b772320ad92c4f20419bbfc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ce818b489b55f6b6a86b6eb6e1ef1868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07962B-806B-4A9D-9A61-2365121D0A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CC5E2E-5AD4-4728-BA58-EDEC058F1CD4}"/>
</file>

<file path=customXml/itemProps3.xml><?xml version="1.0" encoding="utf-8"?>
<ds:datastoreItem xmlns:ds="http://schemas.openxmlformats.org/officeDocument/2006/customXml" ds:itemID="{C0484DB2-7B88-4F9A-B4C3-497FB70F3E75}"/>
</file>

<file path=customXml/itemProps4.xml><?xml version="1.0" encoding="utf-8"?>
<ds:datastoreItem xmlns:ds="http://schemas.openxmlformats.org/officeDocument/2006/customXml" ds:itemID="{4EF327D9-506E-4E95-ADCE-A8C419E5C7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3505</Characters>
  <Application>Microsoft Office Word</Application>
  <DocSecurity>4</DocSecurity>
  <Lines>46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2026-02-27T09:02:00Z</dcterms:created>
  <dcterms:modified xsi:type="dcterms:W3CDTF">2026-02-27T09:02:00Z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</Properties>
</file>