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7792" w14:textId="77777777" w:rsidR="008F564F" w:rsidRDefault="00006C46" w:rsidP="008F564F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8F564F">
        <w:rPr>
          <w:rFonts w:ascii="Arial" w:hAnsi="Arial" w:cs="Arial"/>
          <w:b/>
          <w:bCs/>
          <w:sz w:val="28"/>
          <w:szCs w:val="28"/>
          <w:lang w:val="pt-BR"/>
        </w:rPr>
        <w:t>O relatório Technology Foresight 2026 da NTT DATA destaca seis macrotendências que vão definir o futuro da inovação tecnológica</w:t>
      </w:r>
    </w:p>
    <w:p w14:paraId="15D55520" w14:textId="77777777" w:rsidR="00955154" w:rsidRPr="00006C46" w:rsidRDefault="00955154" w:rsidP="008F564F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2F705350" w14:textId="719E2E85" w:rsidR="00D328AD" w:rsidRPr="00006C46" w:rsidRDefault="02FA7DF1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238A276">
        <w:rPr>
          <w:rFonts w:ascii="Arial" w:hAnsi="Arial" w:cs="Arial"/>
          <w:b/>
          <w:bCs/>
          <w:sz w:val="20"/>
          <w:szCs w:val="20"/>
          <w:lang w:val="pt-BR"/>
        </w:rPr>
        <w:t xml:space="preserve">Lisboa, </w:t>
      </w:r>
      <w:r w:rsidR="003A1E60">
        <w:rPr>
          <w:rFonts w:ascii="Arial" w:hAnsi="Arial" w:cs="Arial"/>
          <w:b/>
          <w:bCs/>
          <w:sz w:val="20"/>
          <w:szCs w:val="20"/>
          <w:lang w:val="pt-BR"/>
        </w:rPr>
        <w:t>25</w:t>
      </w:r>
      <w:r w:rsidRPr="0238A276">
        <w:rPr>
          <w:rFonts w:ascii="Arial" w:hAnsi="Arial" w:cs="Arial"/>
          <w:b/>
          <w:bCs/>
          <w:sz w:val="20"/>
          <w:szCs w:val="20"/>
          <w:lang w:val="pt-BR"/>
        </w:rPr>
        <w:t xml:space="preserve"> de fevereiro de 20</w:t>
      </w:r>
      <w:r w:rsidR="14DB15C4" w:rsidRPr="0238A276">
        <w:rPr>
          <w:rFonts w:ascii="Arial" w:hAnsi="Arial" w:cs="Arial"/>
          <w:b/>
          <w:bCs/>
          <w:sz w:val="20"/>
          <w:szCs w:val="20"/>
          <w:lang w:val="pt-BR"/>
        </w:rPr>
        <w:t>2</w:t>
      </w:r>
      <w:r w:rsidRPr="0238A276">
        <w:rPr>
          <w:rFonts w:ascii="Arial" w:hAnsi="Arial" w:cs="Arial"/>
          <w:b/>
          <w:bCs/>
          <w:sz w:val="20"/>
          <w:szCs w:val="20"/>
          <w:lang w:val="pt-BR"/>
        </w:rPr>
        <w:t>6 -</w:t>
      </w:r>
      <w:r w:rsidRPr="0238A276">
        <w:rPr>
          <w:rFonts w:ascii="Arial" w:hAnsi="Arial" w:cs="Arial"/>
          <w:sz w:val="20"/>
          <w:szCs w:val="20"/>
          <w:lang w:val="pt-BR"/>
        </w:rPr>
        <w:t xml:space="preserve"> </w:t>
      </w:r>
      <w:r w:rsidR="291E1ACB" w:rsidRPr="0238A276">
        <w:rPr>
          <w:rFonts w:ascii="Arial" w:hAnsi="Arial" w:cs="Arial"/>
          <w:sz w:val="20"/>
          <w:szCs w:val="20"/>
          <w:lang w:val="pt-BR"/>
        </w:rPr>
        <w:t xml:space="preserve">A </w:t>
      </w:r>
      <w:r w:rsidR="3580A640" w:rsidRPr="0238A276">
        <w:rPr>
          <w:rFonts w:ascii="Arial" w:hAnsi="Arial" w:cs="Arial"/>
          <w:sz w:val="20"/>
          <w:szCs w:val="20"/>
          <w:lang w:val="pt-BR"/>
        </w:rPr>
        <w:t>NTT DATA</w:t>
      </w:r>
      <w:r w:rsidR="291E1ACB" w:rsidRPr="0238A276">
        <w:rPr>
          <w:rFonts w:ascii="Arial" w:hAnsi="Arial" w:cs="Arial"/>
          <w:sz w:val="20"/>
          <w:szCs w:val="20"/>
          <w:lang w:val="pt-BR"/>
        </w:rPr>
        <w:t xml:space="preserve">, líder global em inteligência artificial, negócios digitais e serviços de tecnologia, anuncia o lançamento do </w:t>
      </w:r>
      <w:r w:rsidR="3580A640" w:rsidRPr="0238A276">
        <w:rPr>
          <w:rFonts w:ascii="Arial" w:hAnsi="Arial" w:cs="Arial"/>
          <w:sz w:val="20"/>
          <w:szCs w:val="20"/>
          <w:lang w:val="pt-BR"/>
        </w:rPr>
        <w:t>NTT DATA Technology Foresight Report 2026</w:t>
      </w:r>
      <w:r w:rsidR="291E1ACB" w:rsidRPr="0238A276">
        <w:rPr>
          <w:rFonts w:ascii="Arial" w:hAnsi="Arial" w:cs="Arial"/>
          <w:sz w:val="20"/>
          <w:szCs w:val="20"/>
          <w:lang w:val="pt-BR"/>
        </w:rPr>
        <w:t xml:space="preserve">. A edição anual do relatório Technology Foresight analisa como as empresas estão </w:t>
      </w:r>
      <w:r w:rsidR="7B7467B9" w:rsidRPr="0238A276">
        <w:rPr>
          <w:rFonts w:ascii="Arial" w:hAnsi="Arial" w:cs="Arial"/>
          <w:sz w:val="20"/>
          <w:szCs w:val="20"/>
          <w:lang w:val="pt-BR"/>
        </w:rPr>
        <w:t>a crescer</w:t>
      </w:r>
      <w:r w:rsidR="291E1ACB" w:rsidRPr="0238A276">
        <w:rPr>
          <w:rFonts w:ascii="Arial" w:hAnsi="Arial" w:cs="Arial"/>
          <w:sz w:val="20"/>
          <w:szCs w:val="20"/>
          <w:lang w:val="pt-BR"/>
        </w:rPr>
        <w:t xml:space="preserve"> ao explorar </w:t>
      </w:r>
      <w:r w:rsidR="7B7467B9" w:rsidRPr="0238A276">
        <w:rPr>
          <w:rFonts w:ascii="Arial" w:hAnsi="Arial" w:cs="Arial"/>
          <w:sz w:val="20"/>
          <w:szCs w:val="20"/>
          <w:lang w:val="pt-BR"/>
        </w:rPr>
        <w:t>plenamente</w:t>
      </w:r>
      <w:r w:rsidR="291E1ACB" w:rsidRPr="0238A276">
        <w:rPr>
          <w:rFonts w:ascii="Arial" w:hAnsi="Arial" w:cs="Arial"/>
          <w:sz w:val="20"/>
          <w:szCs w:val="20"/>
          <w:lang w:val="pt-BR"/>
        </w:rPr>
        <w:t xml:space="preserve"> o potencial das tecnologias digitais, da inteligência artificial e de outras tecnologias avançadas — além de identificar as tendências</w:t>
      </w:r>
      <w:r w:rsidR="5D11C418" w:rsidRPr="0238A276">
        <w:rPr>
          <w:rFonts w:ascii="Arial" w:hAnsi="Arial" w:cs="Arial"/>
          <w:sz w:val="20"/>
          <w:szCs w:val="20"/>
          <w:lang w:val="pt-BR"/>
        </w:rPr>
        <w:t xml:space="preserve"> que</w:t>
      </w:r>
      <w:r w:rsidR="291E1ACB" w:rsidRPr="0238A276">
        <w:rPr>
          <w:rFonts w:ascii="Arial" w:hAnsi="Arial" w:cs="Arial"/>
          <w:sz w:val="20"/>
          <w:szCs w:val="20"/>
          <w:lang w:val="pt-BR"/>
        </w:rPr>
        <w:t xml:space="preserve"> vão definir o futuro da inovação.</w:t>
      </w:r>
    </w:p>
    <w:p w14:paraId="0338F597" w14:textId="33B3965E" w:rsidR="00D328AD" w:rsidRPr="00006C46" w:rsidRDefault="00006C46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21271D">
        <w:rPr>
          <w:rFonts w:ascii="Arial" w:hAnsi="Arial" w:cs="Arial"/>
          <w:sz w:val="20"/>
          <w:szCs w:val="20"/>
          <w:lang w:val="pt-BR"/>
        </w:rPr>
        <w:t xml:space="preserve">À medida que entramos na era da inteligência em massa, </w:t>
      </w:r>
      <w:r w:rsidR="003C572C">
        <w:rPr>
          <w:rFonts w:ascii="Arial" w:hAnsi="Arial" w:cs="Arial"/>
          <w:sz w:val="20"/>
          <w:szCs w:val="20"/>
          <w:lang w:val="pt-BR"/>
        </w:rPr>
        <w:t xml:space="preserve">as 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organizações estão </w:t>
      </w:r>
      <w:r w:rsidR="003C572C">
        <w:rPr>
          <w:rFonts w:ascii="Arial" w:hAnsi="Arial" w:cs="Arial"/>
          <w:sz w:val="20"/>
          <w:szCs w:val="20"/>
          <w:lang w:val="pt-BR"/>
        </w:rPr>
        <w:t xml:space="preserve">a </w:t>
      </w:r>
      <w:r w:rsidRPr="0021271D">
        <w:rPr>
          <w:rFonts w:ascii="Arial" w:hAnsi="Arial" w:cs="Arial"/>
          <w:sz w:val="20"/>
          <w:szCs w:val="20"/>
          <w:lang w:val="pt-BR"/>
        </w:rPr>
        <w:t>prioriza</w:t>
      </w:r>
      <w:r w:rsidR="003C572C">
        <w:rPr>
          <w:rFonts w:ascii="Arial" w:hAnsi="Arial" w:cs="Arial"/>
          <w:sz w:val="20"/>
          <w:szCs w:val="20"/>
          <w:lang w:val="pt-BR"/>
        </w:rPr>
        <w:t xml:space="preserve">r 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ferramentas </w:t>
      </w:r>
      <w:r w:rsidR="003C572C">
        <w:rPr>
          <w:rFonts w:ascii="Arial" w:hAnsi="Arial" w:cs="Arial"/>
          <w:sz w:val="20"/>
          <w:szCs w:val="20"/>
          <w:lang w:val="pt-BR"/>
        </w:rPr>
        <w:t>orientadas para a aprendizagem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, </w:t>
      </w:r>
      <w:r w:rsidR="003C572C">
        <w:rPr>
          <w:rFonts w:ascii="Arial" w:hAnsi="Arial" w:cs="Arial"/>
          <w:sz w:val="20"/>
          <w:szCs w:val="20"/>
          <w:lang w:val="pt-BR"/>
        </w:rPr>
        <w:t>a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 adaptação e o comportamento aut</w:t>
      </w:r>
      <w:r w:rsidR="003C572C">
        <w:rPr>
          <w:rFonts w:ascii="Arial" w:hAnsi="Arial" w:cs="Arial"/>
          <w:sz w:val="20"/>
          <w:szCs w:val="20"/>
          <w:lang w:val="pt-BR"/>
        </w:rPr>
        <w:t>ó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nomo. </w:t>
      </w:r>
      <w:r w:rsidR="003C572C">
        <w:rPr>
          <w:rFonts w:ascii="Arial" w:hAnsi="Arial" w:cs="Arial"/>
          <w:sz w:val="20"/>
          <w:szCs w:val="20"/>
          <w:lang w:val="pt-BR"/>
        </w:rPr>
        <w:t>N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um cenário de transformação acelerada pela inteligência artificial, é fundamental que </w:t>
      </w:r>
      <w:r w:rsidR="003C572C">
        <w:rPr>
          <w:rFonts w:ascii="Arial" w:hAnsi="Arial" w:cs="Arial"/>
          <w:sz w:val="20"/>
          <w:szCs w:val="20"/>
          <w:lang w:val="pt-BR"/>
        </w:rPr>
        <w:t xml:space="preserve">as 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empresas formulem estratégias de médio e longo prazo para consolidar </w:t>
      </w:r>
      <w:r w:rsidR="003C572C">
        <w:rPr>
          <w:rFonts w:ascii="Arial" w:hAnsi="Arial" w:cs="Arial"/>
          <w:sz w:val="20"/>
          <w:szCs w:val="20"/>
          <w:lang w:val="pt-BR"/>
        </w:rPr>
        <w:t xml:space="preserve">a </w:t>
      </w:r>
      <w:r w:rsidRPr="0021271D">
        <w:rPr>
          <w:rFonts w:ascii="Arial" w:hAnsi="Arial" w:cs="Arial"/>
          <w:sz w:val="20"/>
          <w:szCs w:val="20"/>
          <w:lang w:val="pt-BR"/>
        </w:rPr>
        <w:t>sua presença no mercado global.</w:t>
      </w:r>
    </w:p>
    <w:p w14:paraId="34D811BB" w14:textId="1AD4EF93" w:rsidR="00D328AD" w:rsidRPr="00006C46" w:rsidRDefault="003C572C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Na</w:t>
      </w:r>
      <w:r w:rsidR="6B79E198" w:rsidRPr="6B79E198">
        <w:rPr>
          <w:rFonts w:ascii="Arial" w:hAnsi="Arial" w:cs="Arial"/>
          <w:sz w:val="20"/>
          <w:szCs w:val="20"/>
          <w:lang w:val="pt-BR"/>
        </w:rPr>
        <w:t xml:space="preserve"> edição de 2026, a NTT DATA identificou seis tendências que sinalizam o rumo da mudança centrada em tecnologia, considerando </w:t>
      </w:r>
      <w:r>
        <w:rPr>
          <w:rFonts w:ascii="Arial" w:hAnsi="Arial" w:cs="Arial"/>
          <w:sz w:val="20"/>
          <w:szCs w:val="20"/>
          <w:lang w:val="pt-BR"/>
        </w:rPr>
        <w:t>igualmente</w:t>
      </w:r>
      <w:r w:rsidR="6B79E198" w:rsidRPr="6B79E198">
        <w:rPr>
          <w:rFonts w:ascii="Arial" w:hAnsi="Arial" w:cs="Arial"/>
          <w:sz w:val="20"/>
          <w:szCs w:val="20"/>
          <w:lang w:val="pt-BR"/>
        </w:rPr>
        <w:t xml:space="preserve"> a relação entre tecnologia, negócios e sociedade.</w:t>
      </w:r>
    </w:p>
    <w:p w14:paraId="79722CAA" w14:textId="1951AC0C" w:rsidR="288654FC" w:rsidRDefault="54FAEC28" w:rsidP="0238A276">
      <w:pPr>
        <w:jc w:val="center"/>
      </w:pPr>
      <w:r>
        <w:rPr>
          <w:noProof/>
        </w:rPr>
        <w:drawing>
          <wp:inline distT="0" distB="0" distL="0" distR="0" wp14:anchorId="121B544E" wp14:editId="5F0200FD">
            <wp:extent cx="5181866" cy="2921150"/>
            <wp:effectExtent l="0" t="0" r="0" b="0"/>
            <wp:docPr id="11908943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94340" name="Picture 11908943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866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56980" w14:textId="360D491D" w:rsidR="00D328AD" w:rsidRPr="00006C46" w:rsidRDefault="00006C46" w:rsidP="00ED4255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21271D">
        <w:rPr>
          <w:rFonts w:ascii="Arial" w:hAnsi="Arial" w:cs="Arial"/>
          <w:b/>
          <w:bCs/>
          <w:sz w:val="20"/>
          <w:szCs w:val="20"/>
          <w:lang w:val="pt-BR"/>
        </w:rPr>
        <w:t>Visão geral das tendências para 2026</w:t>
      </w:r>
    </w:p>
    <w:p w14:paraId="067D2061" w14:textId="6C13EE4E" w:rsidR="00D328AD" w:rsidRPr="00006C46" w:rsidRDefault="00CA0C1F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Human-Orchestrated Autonomy</w:t>
      </w:r>
      <w:r w:rsidR="00006C46" w:rsidRPr="0021271D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 A autonomia entra em uma nova fase, na qual sistemas inteligentes operam com escala e velocidade, sem perder o alinhamento com a intenção humana. O objetivo é garantir que as decisões s</w:t>
      </w:r>
      <w:r>
        <w:rPr>
          <w:rFonts w:ascii="Arial" w:hAnsi="Arial" w:cs="Arial"/>
          <w:sz w:val="20"/>
          <w:szCs w:val="20"/>
          <w:lang w:val="pt-BR"/>
        </w:rPr>
        <w:t>ão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 transparentes, orientadas por propósito e coerentes com metas empresariais e sociais mais amplas.</w:t>
      </w:r>
    </w:p>
    <w:p w14:paraId="094FEAA8" w14:textId="74AA08EA" w:rsidR="00D328AD" w:rsidRPr="00006C46" w:rsidRDefault="00CA0C1F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Embodied Agency and Emotion</w:t>
      </w:r>
      <w:r w:rsidR="00006C46" w:rsidRPr="0021271D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 Sistemas emocionalmente responsivos passam a integrar a infraestrutura social. Emoções sintéticas fomentam confiança, </w:t>
      </w:r>
      <w:r>
        <w:rPr>
          <w:rFonts w:ascii="Arial" w:hAnsi="Arial" w:cs="Arial"/>
          <w:sz w:val="20"/>
          <w:szCs w:val="20"/>
          <w:lang w:val="pt-BR"/>
        </w:rPr>
        <w:t>envolvimento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 e interação ética — humanizando os dados e viabilizando a coevolução entre empatia humana e artificial, com impacto direto </w:t>
      </w:r>
      <w:r>
        <w:rPr>
          <w:rFonts w:ascii="Arial" w:hAnsi="Arial" w:cs="Arial"/>
          <w:sz w:val="20"/>
          <w:szCs w:val="20"/>
          <w:lang w:val="pt-BR"/>
        </w:rPr>
        <w:t>n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o bem-estar, </w:t>
      </w:r>
      <w:r>
        <w:rPr>
          <w:rFonts w:ascii="Arial" w:hAnsi="Arial" w:cs="Arial"/>
          <w:sz w:val="20"/>
          <w:szCs w:val="20"/>
          <w:lang w:val="pt-BR"/>
        </w:rPr>
        <w:t>n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a produtividade e </w:t>
      </w:r>
      <w:r>
        <w:rPr>
          <w:rFonts w:ascii="Arial" w:hAnsi="Arial" w:cs="Arial"/>
          <w:sz w:val="20"/>
          <w:szCs w:val="20"/>
          <w:lang w:val="pt-BR"/>
        </w:rPr>
        <w:t>n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a transformação afetiva </w:t>
      </w:r>
      <w:r>
        <w:rPr>
          <w:rFonts w:ascii="Arial" w:hAnsi="Arial" w:cs="Arial"/>
          <w:sz w:val="20"/>
          <w:szCs w:val="20"/>
          <w:lang w:val="pt-BR"/>
        </w:rPr>
        <w:t>d</w:t>
      </w:r>
      <w:r w:rsidR="00944283" w:rsidRPr="0021271D">
        <w:rPr>
          <w:rFonts w:ascii="Arial" w:hAnsi="Arial" w:cs="Arial"/>
          <w:sz w:val="20"/>
          <w:szCs w:val="20"/>
          <w:lang w:val="pt-BR"/>
        </w:rPr>
        <w:t>a sociedade.</w:t>
      </w:r>
    </w:p>
    <w:p w14:paraId="59E9D219" w14:textId="17CBFB46" w:rsidR="00D328AD" w:rsidRPr="00006C46" w:rsidRDefault="00CA0C1F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Intelligence We Trust</w:t>
      </w:r>
      <w:r w:rsidR="00006C46" w:rsidRPr="0021271D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 A cibersegurança evolui para uma camada inteligente de confiança adaptativa. Os sistemas aprendem com ameaças complexas e mantêm</w:t>
      </w:r>
      <w:r>
        <w:rPr>
          <w:rFonts w:ascii="Arial" w:hAnsi="Arial" w:cs="Arial"/>
          <w:sz w:val="20"/>
          <w:szCs w:val="20"/>
          <w:lang w:val="pt-BR"/>
        </w:rPr>
        <w:t xml:space="preserve"> a</w:t>
      </w:r>
      <w:r w:rsidR="00944283" w:rsidRPr="0021271D">
        <w:rPr>
          <w:rFonts w:ascii="Arial" w:hAnsi="Arial" w:cs="Arial"/>
          <w:sz w:val="20"/>
          <w:szCs w:val="20"/>
          <w:lang w:val="pt-BR"/>
        </w:rPr>
        <w:t xml:space="preserve"> sua integridade em </w:t>
      </w:r>
      <w:r w:rsidR="00944283" w:rsidRPr="0021271D">
        <w:rPr>
          <w:rFonts w:ascii="Arial" w:hAnsi="Arial" w:cs="Arial"/>
          <w:sz w:val="20"/>
          <w:szCs w:val="20"/>
          <w:lang w:val="pt-BR"/>
        </w:rPr>
        <w:lastRenderedPageBreak/>
        <w:t xml:space="preserve">ecossistemas cada vez mais </w:t>
      </w:r>
      <w:r>
        <w:rPr>
          <w:rFonts w:ascii="Arial" w:hAnsi="Arial" w:cs="Arial"/>
          <w:sz w:val="20"/>
          <w:szCs w:val="20"/>
          <w:lang w:val="pt-BR"/>
        </w:rPr>
        <w:t>interligados</w:t>
      </w:r>
      <w:r w:rsidR="00944283" w:rsidRPr="0021271D">
        <w:rPr>
          <w:rFonts w:ascii="Arial" w:hAnsi="Arial" w:cs="Arial"/>
          <w:sz w:val="20"/>
          <w:szCs w:val="20"/>
          <w:lang w:val="pt-BR"/>
        </w:rPr>
        <w:t>. À medida que a IA ganha autonomia, a segurança também precisa proteger sua transparência, rastreabilidade e comportamento ético.</w:t>
      </w:r>
    </w:p>
    <w:p w14:paraId="7A2DE338" w14:textId="0CD80B68" w:rsidR="00D328AD" w:rsidRPr="00006C46" w:rsidRDefault="00CA0C1F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Informed Infrastructure</w:t>
      </w:r>
      <w:r w:rsidR="00006C46" w:rsidRPr="0021271D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="00006C46" w:rsidRPr="0021271D">
        <w:rPr>
          <w:rFonts w:ascii="Arial" w:hAnsi="Arial" w:cs="Arial"/>
          <w:sz w:val="20"/>
          <w:szCs w:val="20"/>
          <w:lang w:val="pt-BR"/>
        </w:rPr>
        <w:t xml:space="preserve"> A infraestrutura torna-se uma base ativa para a inovação, com inteligência contínua que otimiza o desempenho, antecipa a </w:t>
      </w:r>
      <w:r>
        <w:rPr>
          <w:rFonts w:ascii="Arial" w:hAnsi="Arial" w:cs="Arial"/>
          <w:sz w:val="20"/>
          <w:szCs w:val="20"/>
          <w:lang w:val="pt-BR"/>
        </w:rPr>
        <w:t>procura</w:t>
      </w:r>
      <w:r w:rsidR="00006C46" w:rsidRPr="0021271D">
        <w:rPr>
          <w:rFonts w:ascii="Arial" w:hAnsi="Arial" w:cs="Arial"/>
          <w:sz w:val="20"/>
          <w:szCs w:val="20"/>
          <w:lang w:val="pt-BR"/>
        </w:rPr>
        <w:t xml:space="preserve"> e equilibra agilidade, custo, control</w:t>
      </w:r>
      <w:r>
        <w:rPr>
          <w:rFonts w:ascii="Arial" w:hAnsi="Arial" w:cs="Arial"/>
          <w:sz w:val="20"/>
          <w:szCs w:val="20"/>
          <w:lang w:val="pt-BR"/>
        </w:rPr>
        <w:t>o</w:t>
      </w:r>
      <w:r w:rsidR="00006C46" w:rsidRPr="0021271D">
        <w:rPr>
          <w:rFonts w:ascii="Arial" w:hAnsi="Arial" w:cs="Arial"/>
          <w:sz w:val="20"/>
          <w:szCs w:val="20"/>
          <w:lang w:val="pt-BR"/>
        </w:rPr>
        <w:t xml:space="preserve"> e sustentabilidade em tempo real. Essa infraestrutura estende</w:t>
      </w:r>
      <w:r>
        <w:rPr>
          <w:rFonts w:ascii="Arial" w:hAnsi="Arial" w:cs="Arial"/>
          <w:sz w:val="20"/>
          <w:szCs w:val="20"/>
          <w:lang w:val="pt-BR"/>
        </w:rPr>
        <w:t>-se</w:t>
      </w:r>
      <w:r w:rsidR="00006C46" w:rsidRPr="0021271D">
        <w:rPr>
          <w:rFonts w:ascii="Arial" w:hAnsi="Arial" w:cs="Arial"/>
          <w:sz w:val="20"/>
          <w:szCs w:val="20"/>
          <w:lang w:val="pt-BR"/>
        </w:rPr>
        <w:t xml:space="preserve"> de forma contínua e integrada por todo o continuum híbrido de dispositivos, edge e cloud, orquestrando cargas de trabalho diversas nos pontos em que oferecem o maior valor e eficiência.</w:t>
      </w:r>
    </w:p>
    <w:p w14:paraId="4D72C8E3" w14:textId="32DEF7A4" w:rsidR="00D328AD" w:rsidRPr="00006C46" w:rsidRDefault="00CA0C1F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Sovereign Silicon Ecosystem</w:t>
      </w:r>
      <w:r w:rsidR="00006C46" w:rsidRPr="0021271D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="008F564F" w:rsidRPr="0021271D">
        <w:rPr>
          <w:rFonts w:ascii="Arial" w:hAnsi="Arial" w:cs="Arial"/>
          <w:sz w:val="20"/>
          <w:szCs w:val="20"/>
          <w:lang w:val="pt-BR"/>
        </w:rPr>
        <w:t xml:space="preserve"> A inovação em semicondutores é essencial para a resiliência nacional e a soberania tecnológica. </w:t>
      </w:r>
      <w:r>
        <w:rPr>
          <w:rFonts w:ascii="Arial" w:hAnsi="Arial" w:cs="Arial"/>
          <w:sz w:val="20"/>
          <w:szCs w:val="20"/>
          <w:lang w:val="pt-BR"/>
        </w:rPr>
        <w:t>Os países estão a construir</w:t>
      </w:r>
      <w:r w:rsidR="008F564F" w:rsidRPr="0021271D">
        <w:rPr>
          <w:rFonts w:ascii="Arial" w:hAnsi="Arial" w:cs="Arial"/>
          <w:sz w:val="20"/>
          <w:szCs w:val="20"/>
          <w:lang w:val="pt-BR"/>
        </w:rPr>
        <w:t xml:space="preserve"> ecossistemas de chips </w:t>
      </w:r>
      <w:r>
        <w:rPr>
          <w:rFonts w:ascii="Arial" w:hAnsi="Arial" w:cs="Arial"/>
          <w:sz w:val="20"/>
          <w:szCs w:val="20"/>
          <w:lang w:val="pt-BR"/>
        </w:rPr>
        <w:t>end-to-end</w:t>
      </w:r>
      <w:r w:rsidR="008F564F" w:rsidRPr="0021271D">
        <w:rPr>
          <w:rFonts w:ascii="Arial" w:hAnsi="Arial" w:cs="Arial"/>
          <w:sz w:val="20"/>
          <w:szCs w:val="20"/>
          <w:lang w:val="pt-BR"/>
        </w:rPr>
        <w:t xml:space="preserve"> para proteger as cadeias de </w:t>
      </w:r>
      <w:r>
        <w:rPr>
          <w:rFonts w:ascii="Arial" w:hAnsi="Arial" w:cs="Arial"/>
          <w:sz w:val="20"/>
          <w:szCs w:val="20"/>
          <w:lang w:val="pt-BR"/>
        </w:rPr>
        <w:t>abastecimento</w:t>
      </w:r>
      <w:r w:rsidR="008F564F" w:rsidRPr="0021271D">
        <w:rPr>
          <w:rFonts w:ascii="Arial" w:hAnsi="Arial" w:cs="Arial"/>
          <w:sz w:val="20"/>
          <w:szCs w:val="20"/>
          <w:lang w:val="pt-BR"/>
        </w:rPr>
        <w:t xml:space="preserve">, </w:t>
      </w:r>
      <w:r>
        <w:rPr>
          <w:rFonts w:ascii="Arial" w:hAnsi="Arial" w:cs="Arial"/>
          <w:sz w:val="20"/>
          <w:szCs w:val="20"/>
          <w:lang w:val="pt-BR"/>
        </w:rPr>
        <w:t>assegurar</w:t>
      </w:r>
      <w:r w:rsidR="008F564F" w:rsidRPr="0021271D">
        <w:rPr>
          <w:rFonts w:ascii="Arial" w:hAnsi="Arial" w:cs="Arial"/>
          <w:sz w:val="20"/>
          <w:szCs w:val="20"/>
          <w:lang w:val="pt-BR"/>
        </w:rPr>
        <w:t xml:space="preserve"> a propriedade intelectual e manter a liderança em computação. O domínio sobre o silício passa a ser um vetor estratégico da transformação digital.</w:t>
      </w:r>
    </w:p>
    <w:p w14:paraId="47919BE2" w14:textId="4966D1E4" w:rsidR="00D328AD" w:rsidRPr="00006C46" w:rsidRDefault="00CA0C1F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From Illusionary Efficiency to Sufficiency</w:t>
      </w:r>
      <w:r w:rsidR="00006C46" w:rsidRPr="0021271D">
        <w:rPr>
          <w:rFonts w:ascii="Arial" w:hAnsi="Arial" w:cs="Arial"/>
          <w:b/>
          <w:bCs/>
          <w:sz w:val="20"/>
          <w:szCs w:val="20"/>
          <w:lang w:val="pt-BR"/>
        </w:rPr>
        <w:t>:</w:t>
      </w:r>
      <w:r w:rsidR="008F564F" w:rsidRPr="0021271D">
        <w:rPr>
          <w:rFonts w:ascii="Arial" w:hAnsi="Arial" w:cs="Arial"/>
          <w:sz w:val="20"/>
          <w:szCs w:val="20"/>
          <w:lang w:val="pt-BR"/>
        </w:rPr>
        <w:t xml:space="preserve"> A próxima fronteira do crescimento vai além da </w:t>
      </w:r>
      <w:r>
        <w:rPr>
          <w:rFonts w:ascii="Arial" w:hAnsi="Arial" w:cs="Arial"/>
          <w:sz w:val="20"/>
          <w:szCs w:val="20"/>
          <w:lang w:val="pt-BR"/>
        </w:rPr>
        <w:t>procura</w:t>
      </w:r>
      <w:r w:rsidR="008F564F" w:rsidRPr="0021271D">
        <w:rPr>
          <w:rFonts w:ascii="Arial" w:hAnsi="Arial" w:cs="Arial"/>
          <w:sz w:val="20"/>
          <w:szCs w:val="20"/>
          <w:lang w:val="pt-BR"/>
        </w:rPr>
        <w:t xml:space="preserve"> por ganhos operacionais isolados e aponta para a suficiência. Um paradigma em que a tecnologia permite que as empresas prosperem de forma responsável, dentro dos limites do planeta, ao mesmo tempo em que fortalecem a resiliência e a credibilidade de longo prazo.</w:t>
      </w:r>
    </w:p>
    <w:p w14:paraId="38160AC3" w14:textId="6C62760E" w:rsidR="00D328AD" w:rsidRPr="00006C46" w:rsidRDefault="3ED85CEA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238A276">
        <w:rPr>
          <w:rFonts w:ascii="Arial" w:hAnsi="Arial" w:cs="Arial"/>
          <w:sz w:val="20"/>
          <w:szCs w:val="20"/>
          <w:lang w:val="pt-BR"/>
        </w:rPr>
        <w:t>“A ascensão da inteligência em massa convida</w:t>
      </w:r>
      <w:r w:rsidR="3FEB1F4A" w:rsidRPr="0238A276">
        <w:rPr>
          <w:rFonts w:ascii="Arial" w:hAnsi="Arial" w:cs="Arial"/>
          <w:sz w:val="20"/>
          <w:szCs w:val="20"/>
          <w:lang w:val="pt-BR"/>
        </w:rPr>
        <w:t>-nos</w:t>
      </w:r>
      <w:r w:rsidRPr="0238A276">
        <w:rPr>
          <w:rFonts w:ascii="Arial" w:hAnsi="Arial" w:cs="Arial"/>
          <w:sz w:val="20"/>
          <w:szCs w:val="20"/>
          <w:lang w:val="pt-BR"/>
        </w:rPr>
        <w:t xml:space="preserve"> a trocar a aceleração por </w:t>
      </w:r>
      <w:r w:rsidR="3FEB1F4A" w:rsidRPr="0238A276">
        <w:rPr>
          <w:rFonts w:ascii="Arial" w:hAnsi="Arial" w:cs="Arial"/>
          <w:sz w:val="20"/>
          <w:szCs w:val="20"/>
          <w:lang w:val="pt-BR"/>
        </w:rPr>
        <w:t>aquilo</w:t>
      </w:r>
      <w:r w:rsidRPr="0238A276">
        <w:rPr>
          <w:rFonts w:ascii="Arial" w:hAnsi="Arial" w:cs="Arial"/>
          <w:sz w:val="20"/>
          <w:szCs w:val="20"/>
          <w:lang w:val="pt-BR"/>
        </w:rPr>
        <w:t xml:space="preserve"> que realmente importa”, afirm</w:t>
      </w:r>
      <w:r w:rsidR="3FEB1F4A" w:rsidRPr="0238A276">
        <w:rPr>
          <w:rFonts w:ascii="Arial" w:hAnsi="Arial" w:cs="Arial"/>
          <w:sz w:val="20"/>
          <w:szCs w:val="20"/>
          <w:lang w:val="pt-BR"/>
        </w:rPr>
        <w:t>a</w:t>
      </w:r>
      <w:r w:rsidRPr="0238A276">
        <w:rPr>
          <w:rFonts w:ascii="Arial" w:hAnsi="Arial" w:cs="Arial"/>
          <w:sz w:val="20"/>
          <w:szCs w:val="20"/>
          <w:lang w:val="pt-BR"/>
        </w:rPr>
        <w:t xml:space="preserve"> </w:t>
      </w:r>
      <w:r w:rsidRPr="0238A276">
        <w:rPr>
          <w:rFonts w:ascii="Arial" w:hAnsi="Arial" w:cs="Arial"/>
          <w:b/>
          <w:bCs/>
          <w:sz w:val="20"/>
          <w:szCs w:val="20"/>
          <w:lang w:val="pt-BR"/>
        </w:rPr>
        <w:t xml:space="preserve">Oliver Koeth, </w:t>
      </w:r>
      <w:r w:rsidR="3FEB1F4A" w:rsidRPr="0238A276">
        <w:rPr>
          <w:rFonts w:ascii="Arial" w:hAnsi="Arial" w:cs="Arial"/>
          <w:b/>
          <w:bCs/>
          <w:sz w:val="20"/>
          <w:szCs w:val="20"/>
          <w:lang w:val="pt-BR"/>
        </w:rPr>
        <w:t>Managing Director, NTT DATA Germany</w:t>
      </w:r>
      <w:r w:rsidRPr="0238A276">
        <w:rPr>
          <w:rFonts w:ascii="Arial" w:hAnsi="Arial" w:cs="Arial"/>
          <w:sz w:val="20"/>
          <w:szCs w:val="20"/>
          <w:lang w:val="pt-BR"/>
        </w:rPr>
        <w:t>. “Quando sistemas emocionalmente conscientes, computação soberana e infraestrutura fiável se integram, a tecnologia evolui para uma aliada com propósito — ampliando a resiliência e reforçando os valores que definirão</w:t>
      </w:r>
      <w:r w:rsidR="609B4CF6" w:rsidRPr="0238A276">
        <w:rPr>
          <w:rFonts w:ascii="Arial" w:hAnsi="Arial" w:cs="Arial"/>
          <w:sz w:val="20"/>
          <w:szCs w:val="20"/>
          <w:lang w:val="pt-BR"/>
        </w:rPr>
        <w:t xml:space="preserve"> o</w:t>
      </w:r>
      <w:r w:rsidRPr="0238A276">
        <w:rPr>
          <w:rFonts w:ascii="Arial" w:hAnsi="Arial" w:cs="Arial"/>
          <w:sz w:val="20"/>
          <w:szCs w:val="20"/>
          <w:lang w:val="pt-BR"/>
        </w:rPr>
        <w:t xml:space="preserve"> nosso futuro coletivo”, acrescent</w:t>
      </w:r>
      <w:r w:rsidR="3FEB1F4A" w:rsidRPr="0238A276">
        <w:rPr>
          <w:rFonts w:ascii="Arial" w:hAnsi="Arial" w:cs="Arial"/>
          <w:sz w:val="20"/>
          <w:szCs w:val="20"/>
          <w:lang w:val="pt-BR"/>
        </w:rPr>
        <w:t>a</w:t>
      </w:r>
      <w:r w:rsidRPr="0238A276">
        <w:rPr>
          <w:rFonts w:ascii="Arial" w:hAnsi="Arial" w:cs="Arial"/>
          <w:sz w:val="20"/>
          <w:szCs w:val="20"/>
          <w:lang w:val="pt-BR"/>
        </w:rPr>
        <w:t xml:space="preserve"> Koeth.</w:t>
      </w:r>
    </w:p>
    <w:p w14:paraId="15136048" w14:textId="62E1A0F8" w:rsidR="3C58C428" w:rsidRPr="00475234" w:rsidRDefault="391CDBE4" w:rsidP="00ED4255">
      <w:pPr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238A276">
        <w:rPr>
          <w:rFonts w:eastAsiaTheme="minorEastAsia"/>
          <w:sz w:val="20"/>
          <w:szCs w:val="20"/>
          <w:lang w:val="pt-BR"/>
        </w:rPr>
        <w:t>"</w:t>
      </w:r>
      <w:r w:rsidRPr="0238A276">
        <w:rPr>
          <w:rFonts w:ascii="Arial" w:hAnsi="Arial" w:cs="Arial"/>
          <w:sz w:val="20"/>
          <w:szCs w:val="20"/>
          <w:lang w:val="pt-BR"/>
        </w:rPr>
        <w:t>O relatório Technology Foresight é um convite à ação com foco no futuro. Vivemos na era da inteligência em massa, em que o sucesso dos negócios não depende apenas da automação, mas da nossa capacidade de orquestrar sistemas aut</w:t>
      </w:r>
      <w:r w:rsidR="3FEB1F4A" w:rsidRPr="0238A276">
        <w:rPr>
          <w:rFonts w:ascii="Arial" w:hAnsi="Arial" w:cs="Arial"/>
          <w:sz w:val="20"/>
          <w:szCs w:val="20"/>
          <w:lang w:val="pt-BR"/>
        </w:rPr>
        <w:t>ó</w:t>
      </w:r>
      <w:r w:rsidRPr="0238A276">
        <w:rPr>
          <w:rFonts w:ascii="Arial" w:hAnsi="Arial" w:cs="Arial"/>
          <w:sz w:val="20"/>
          <w:szCs w:val="20"/>
          <w:lang w:val="pt-BR"/>
        </w:rPr>
        <w:t>nomos para atuar</w:t>
      </w:r>
      <w:r w:rsidR="3FEB1F4A" w:rsidRPr="0238A276">
        <w:rPr>
          <w:rFonts w:ascii="Arial" w:hAnsi="Arial" w:cs="Arial"/>
          <w:sz w:val="20"/>
          <w:szCs w:val="20"/>
          <w:lang w:val="pt-BR"/>
        </w:rPr>
        <w:t>em</w:t>
      </w:r>
      <w:r w:rsidRPr="0238A276">
        <w:rPr>
          <w:rFonts w:ascii="Arial" w:hAnsi="Arial" w:cs="Arial"/>
          <w:sz w:val="20"/>
          <w:szCs w:val="20"/>
          <w:lang w:val="pt-BR"/>
        </w:rPr>
        <w:t xml:space="preserve"> com empatia, transparência e soberania. Com o Technology Foresight 2026, propomos uma mudança de paradigma em direção à suficiência, alavancando a inteligência para expandir o propósito humano e garantir um crescimento sustentável e ético para toda a sociedade”,</w:t>
      </w:r>
      <w:r w:rsidR="50493B1E" w:rsidRPr="0238A276">
        <w:rPr>
          <w:rFonts w:ascii="Arial" w:hAnsi="Arial" w:cs="Arial"/>
          <w:sz w:val="20"/>
          <w:szCs w:val="20"/>
          <w:lang w:val="pt-BR"/>
        </w:rPr>
        <w:t xml:space="preserve"> acrescent</w:t>
      </w:r>
      <w:r w:rsidR="3FEB1F4A" w:rsidRPr="0238A276">
        <w:rPr>
          <w:rFonts w:ascii="Arial" w:hAnsi="Arial" w:cs="Arial"/>
          <w:sz w:val="20"/>
          <w:szCs w:val="20"/>
          <w:lang w:val="pt-BR"/>
        </w:rPr>
        <w:t xml:space="preserve">a </w:t>
      </w:r>
      <w:r w:rsidR="3FEB1F4A" w:rsidRPr="0238A276">
        <w:rPr>
          <w:rFonts w:ascii="Arial" w:hAnsi="Arial" w:cs="Arial"/>
          <w:b/>
          <w:bCs/>
          <w:sz w:val="20"/>
          <w:szCs w:val="20"/>
          <w:lang w:val="pt-PT"/>
        </w:rPr>
        <w:t xml:space="preserve">Alberto Otero, Head of Digital Technology Iberia, IO, LATAM &amp; Consulting in Benelux and France, </w:t>
      </w:r>
      <w:r w:rsidR="24CBE9ED" w:rsidRPr="0238A276">
        <w:rPr>
          <w:rFonts w:ascii="Arial" w:hAnsi="Arial" w:cs="Arial"/>
          <w:b/>
          <w:bCs/>
          <w:sz w:val="20"/>
          <w:szCs w:val="20"/>
          <w:lang w:val="pt-PT"/>
        </w:rPr>
        <w:t>d</w:t>
      </w:r>
      <w:r w:rsidR="3FEB1F4A" w:rsidRPr="0238A276">
        <w:rPr>
          <w:rFonts w:ascii="Arial" w:hAnsi="Arial" w:cs="Arial"/>
          <w:b/>
          <w:bCs/>
          <w:sz w:val="20"/>
          <w:szCs w:val="20"/>
          <w:lang w:val="pt-PT"/>
        </w:rPr>
        <w:t>a NTT DATA.</w:t>
      </w:r>
    </w:p>
    <w:p w14:paraId="6271E43F" w14:textId="08E643C4" w:rsidR="485082A3" w:rsidRDefault="485082A3" w:rsidP="0238A276">
      <w:pPr>
        <w:spacing w:line="276" w:lineRule="auto"/>
        <w:jc w:val="both"/>
      </w:pPr>
      <w:r w:rsidRPr="0238A276">
        <w:rPr>
          <w:rFonts w:ascii="Arial" w:eastAsia="Arial" w:hAnsi="Arial" w:cs="Arial"/>
          <w:sz w:val="20"/>
          <w:szCs w:val="20"/>
          <w:lang w:val="pt-BR"/>
        </w:rPr>
        <w:t xml:space="preserve">Para mais informação, aceda ao site da </w:t>
      </w:r>
      <w:hyperlink r:id="rId10">
        <w:r w:rsidRPr="0238A276">
          <w:rPr>
            <w:rStyle w:val="Hiperligao"/>
            <w:rFonts w:ascii="Arial" w:eastAsia="Arial" w:hAnsi="Arial" w:cs="Arial"/>
            <w:color w:val="467886"/>
            <w:sz w:val="20"/>
            <w:szCs w:val="20"/>
            <w:lang w:val="pt-BR"/>
          </w:rPr>
          <w:t>NTT DATA Technology Foresight</w:t>
        </w:r>
      </w:hyperlink>
      <w:r w:rsidRPr="0238A276">
        <w:rPr>
          <w:rFonts w:ascii="Arial" w:eastAsia="Arial" w:hAnsi="Arial" w:cs="Arial"/>
          <w:sz w:val="20"/>
          <w:szCs w:val="20"/>
          <w:lang w:val="pt-BR"/>
        </w:rPr>
        <w:t>.</w:t>
      </w:r>
    </w:p>
    <w:p w14:paraId="07C5D859" w14:textId="77777777" w:rsidR="00D328AD" w:rsidRPr="00006C46" w:rsidRDefault="00006C46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21271D">
        <w:rPr>
          <w:rFonts w:ascii="Arial" w:hAnsi="Arial" w:cs="Arial"/>
          <w:sz w:val="20"/>
          <w:szCs w:val="20"/>
          <w:lang w:val="pt-BR"/>
        </w:rPr>
        <w:t>A NTT DATA utiliza o relatório NTT DATA Technology Foresight para cocriar visões de futuro com clientes em todo o mundo e desenvolve as tecnologias e serviços necessários para tornar essas visões realidade. Entre os casos de uso estão:</w:t>
      </w:r>
    </w:p>
    <w:p w14:paraId="48CEE175" w14:textId="75F52EEA" w:rsidR="00D328AD" w:rsidRPr="00006C46" w:rsidRDefault="00006C46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21271D">
        <w:rPr>
          <w:rFonts w:ascii="Arial" w:hAnsi="Arial" w:cs="Arial"/>
          <w:sz w:val="20"/>
          <w:szCs w:val="20"/>
          <w:lang w:val="pt-BR"/>
        </w:rPr>
        <w:t>NTT DATA apresenta o ecossistema Smart AI Agent™, revolucionando soluções setoriais com automação inteligente e alianças estratégicas</w:t>
      </w:r>
    </w:p>
    <w:p w14:paraId="43AC190D" w14:textId="076155F9" w:rsidR="00D328AD" w:rsidRPr="00006C46" w:rsidRDefault="00D328AD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hyperlink r:id="rId11" w:history="1">
        <w:r w:rsidRPr="0021271D">
          <w:rPr>
            <w:rStyle w:val="Hiperligao"/>
            <w:rFonts w:ascii="Arial" w:hAnsi="Arial" w:cs="Arial"/>
            <w:sz w:val="20"/>
            <w:szCs w:val="20"/>
            <w:lang w:val="pt-BR"/>
          </w:rPr>
          <w:t>https://www.nttdata.com/global/en/news/press-release/2025/may/051600</w:t>
        </w:r>
      </w:hyperlink>
    </w:p>
    <w:p w14:paraId="3C49CF81" w14:textId="77777777" w:rsidR="00D328AD" w:rsidRPr="00006C46" w:rsidRDefault="00006C46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21271D">
        <w:rPr>
          <w:rFonts w:ascii="Arial" w:hAnsi="Arial" w:cs="Arial"/>
          <w:sz w:val="20"/>
          <w:szCs w:val="20"/>
          <w:lang w:val="pt-BR"/>
        </w:rPr>
        <w:t>MUFG Bank, NTT DATA e NTT West publicam relatório de PoC sobre conectividade entre data centers com uso do IOWN APN</w:t>
      </w:r>
    </w:p>
    <w:p w14:paraId="76AA6226" w14:textId="7920D46B" w:rsidR="00D328AD" w:rsidRPr="00006C46" w:rsidRDefault="00D328AD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hyperlink r:id="rId12" w:history="1">
        <w:r w:rsidRPr="0021271D">
          <w:rPr>
            <w:rStyle w:val="Hiperligao"/>
            <w:rFonts w:ascii="Arial" w:hAnsi="Arial" w:cs="Arial"/>
            <w:sz w:val="20"/>
            <w:szCs w:val="20"/>
            <w:lang w:val="pt-BR"/>
          </w:rPr>
          <w:t>https://www.nttdata.com/global/en/news/press-release/2025/december/121901</w:t>
        </w:r>
      </w:hyperlink>
    </w:p>
    <w:p w14:paraId="0184474A" w14:textId="1228A0E3" w:rsidR="00D328AD" w:rsidRPr="00006C46" w:rsidRDefault="00006C46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21271D">
        <w:rPr>
          <w:rFonts w:ascii="Arial" w:hAnsi="Arial" w:cs="Arial"/>
          <w:sz w:val="20"/>
          <w:szCs w:val="20"/>
          <w:lang w:val="pt-BR"/>
        </w:rPr>
        <w:t xml:space="preserve">NTT DATA </w:t>
      </w:r>
      <w:r w:rsidR="00475234">
        <w:rPr>
          <w:rFonts w:ascii="Arial" w:hAnsi="Arial" w:cs="Arial"/>
          <w:sz w:val="20"/>
          <w:szCs w:val="20"/>
          <w:lang w:val="pt-BR"/>
        </w:rPr>
        <w:t>estabelece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 parceria com a Google Cloud para acelerar a adoção de Agentic AI e a modernização em cloud no mercado corporativo global</w:t>
      </w:r>
    </w:p>
    <w:p w14:paraId="4AAFA28C" w14:textId="628111C2" w:rsidR="00D328AD" w:rsidRPr="00006C46" w:rsidRDefault="00D328AD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hyperlink r:id="rId13" w:history="1">
        <w:r w:rsidRPr="0021271D">
          <w:rPr>
            <w:rStyle w:val="Hiperligao"/>
            <w:rFonts w:ascii="Arial" w:hAnsi="Arial" w:cs="Arial"/>
            <w:sz w:val="20"/>
            <w:szCs w:val="20"/>
            <w:lang w:val="pt-BR"/>
          </w:rPr>
          <w:t>https://www.nttdata.com/global/en/news/press-release/2025/august/081300</w:t>
        </w:r>
      </w:hyperlink>
    </w:p>
    <w:p w14:paraId="4EFBA555" w14:textId="5EE9C6B3" w:rsidR="00D328AD" w:rsidRPr="00006C46" w:rsidRDefault="00006C46" w:rsidP="00ED4255">
      <w:pPr>
        <w:jc w:val="both"/>
        <w:rPr>
          <w:rFonts w:ascii="Arial" w:hAnsi="Arial" w:cs="Arial"/>
          <w:sz w:val="20"/>
          <w:szCs w:val="20"/>
          <w:lang w:val="pt-BR"/>
        </w:rPr>
      </w:pPr>
      <w:r w:rsidRPr="0021271D">
        <w:rPr>
          <w:rFonts w:ascii="Arial" w:hAnsi="Arial" w:cs="Arial"/>
          <w:sz w:val="20"/>
          <w:szCs w:val="20"/>
          <w:lang w:val="pt-BR"/>
        </w:rPr>
        <w:t xml:space="preserve">O relatório Technology Foresight desempenha um papel fundamental na estratégia de inovação da NTT DATA, orientando a criação de novos negócios e </w:t>
      </w:r>
      <w:r w:rsidR="00475234">
        <w:rPr>
          <w:rFonts w:ascii="Arial" w:hAnsi="Arial" w:cs="Arial"/>
          <w:sz w:val="20"/>
          <w:szCs w:val="20"/>
          <w:lang w:val="pt-BR"/>
        </w:rPr>
        <w:t>promovendo</w:t>
      </w:r>
      <w:r w:rsidRPr="0021271D">
        <w:rPr>
          <w:rFonts w:ascii="Arial" w:hAnsi="Arial" w:cs="Arial"/>
          <w:sz w:val="20"/>
          <w:szCs w:val="20"/>
          <w:lang w:val="pt-BR"/>
        </w:rPr>
        <w:t xml:space="preserve"> transformações sociais.</w:t>
      </w:r>
    </w:p>
    <w:p w14:paraId="343D5C11" w14:textId="77777777" w:rsidR="00475234" w:rsidRDefault="00475234" w:rsidP="00ED4255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pt-BR"/>
        </w:rPr>
      </w:pPr>
    </w:p>
    <w:p w14:paraId="1C74A9DB" w14:textId="77777777" w:rsidR="00955154" w:rsidRDefault="00955154" w:rsidP="00ED4255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pt-BR"/>
        </w:rPr>
      </w:pPr>
    </w:p>
    <w:p w14:paraId="4DF21313" w14:textId="77777777" w:rsidR="00955154" w:rsidRDefault="00955154" w:rsidP="00ED4255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pt-BR"/>
        </w:rPr>
      </w:pPr>
    </w:p>
    <w:p w14:paraId="5F467E54" w14:textId="77777777" w:rsidR="00955154" w:rsidRDefault="00955154" w:rsidP="00ED4255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pt-BR"/>
        </w:rPr>
      </w:pPr>
    </w:p>
    <w:p w14:paraId="294DF64C" w14:textId="0385849E" w:rsidR="00D328AD" w:rsidRPr="00006C46" w:rsidRDefault="00006C46" w:rsidP="00ED4255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pt-BR"/>
        </w:rPr>
      </w:pPr>
      <w:r w:rsidRPr="00375B41">
        <w:rPr>
          <w:rFonts w:ascii="Arial" w:hAnsi="Arial" w:cs="Arial"/>
          <w:b/>
          <w:bCs/>
          <w:sz w:val="18"/>
          <w:szCs w:val="18"/>
          <w:u w:val="single"/>
          <w:lang w:val="pt-BR"/>
        </w:rPr>
        <w:t>Sobre a NTT DATA</w:t>
      </w:r>
    </w:p>
    <w:p w14:paraId="6D292058" w14:textId="77777777" w:rsidR="00ED4255" w:rsidRPr="00ED4255" w:rsidRDefault="00ED4255" w:rsidP="00ED4255">
      <w:pPr>
        <w:jc w:val="both"/>
        <w:rPr>
          <w:rFonts w:ascii="Arial" w:hAnsi="Arial" w:cs="Arial"/>
          <w:sz w:val="18"/>
          <w:szCs w:val="18"/>
          <w:lang w:val="pt-PT"/>
        </w:rPr>
      </w:pPr>
      <w:r w:rsidRPr="00ED4255">
        <w:rPr>
          <w:rFonts w:ascii="Arial" w:hAnsi="Arial" w:cs="Arial"/>
          <w:sz w:val="18"/>
          <w:szCs w:val="18"/>
          <w:lang w:val="pt-PT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    </w:t>
      </w:r>
    </w:p>
    <w:p w14:paraId="5DCAB63F" w14:textId="77777777" w:rsidR="00ED4255" w:rsidRPr="00ED4255" w:rsidRDefault="00ED4255" w:rsidP="00ED4255">
      <w:pPr>
        <w:jc w:val="both"/>
        <w:rPr>
          <w:rFonts w:ascii="Arial" w:hAnsi="Arial" w:cs="Arial"/>
          <w:sz w:val="18"/>
          <w:szCs w:val="18"/>
          <w:lang w:val="pt-PT"/>
        </w:rPr>
      </w:pPr>
      <w:r w:rsidRPr="00ED4255">
        <w:rPr>
          <w:rFonts w:ascii="Arial" w:hAnsi="Arial" w:cs="Arial"/>
          <w:sz w:val="18"/>
          <w:szCs w:val="18"/>
          <w:lang w:val="pt-PT"/>
        </w:rPr>
        <w:t>Somos um dos principais fornecedores mundiais de infraestruturas digitais e inteligência artificial, com capacidades incomparáveis em IA à escala empresarial, </w:t>
      </w:r>
      <w:proofErr w:type="spellStart"/>
      <w:r w:rsidRPr="00ED4255">
        <w:rPr>
          <w:rFonts w:ascii="Arial" w:hAnsi="Arial" w:cs="Arial"/>
          <w:i/>
          <w:iCs/>
          <w:sz w:val="18"/>
          <w:szCs w:val="18"/>
          <w:lang w:val="pt-PT"/>
        </w:rPr>
        <w:t>cloud</w:t>
      </w:r>
      <w:proofErr w:type="spellEnd"/>
      <w:r w:rsidRPr="00ED4255">
        <w:rPr>
          <w:rFonts w:ascii="Arial" w:hAnsi="Arial" w:cs="Arial"/>
          <w:i/>
          <w:iCs/>
          <w:sz w:val="18"/>
          <w:szCs w:val="18"/>
          <w:lang w:val="pt-PT"/>
        </w:rPr>
        <w:t>,</w:t>
      </w:r>
      <w:r w:rsidRPr="00ED4255">
        <w:rPr>
          <w:rFonts w:ascii="Arial" w:hAnsi="Arial" w:cs="Arial"/>
          <w:sz w:val="18"/>
          <w:szCs w:val="18"/>
          <w:lang w:val="pt-PT"/>
        </w:rPr>
        <w:t> segurança, conectividade, centros de dados e serviços de aplicações. As nossas soluções de consultoria e de especialização setorial ajudam organizações e comunidades a avançar com confiança e sustentabilidade em direção ao futuro digital.    </w:t>
      </w:r>
    </w:p>
    <w:p w14:paraId="44BE667A" w14:textId="77777777" w:rsidR="00ED4255" w:rsidRPr="00ED4255" w:rsidRDefault="00ED4255" w:rsidP="00ED4255">
      <w:pPr>
        <w:jc w:val="both"/>
        <w:rPr>
          <w:rFonts w:ascii="Arial" w:hAnsi="Arial" w:cs="Arial"/>
          <w:sz w:val="18"/>
          <w:szCs w:val="18"/>
          <w:lang w:val="pt-PT"/>
        </w:rPr>
      </w:pPr>
      <w:r w:rsidRPr="00ED4255">
        <w:rPr>
          <w:rFonts w:ascii="Arial" w:hAnsi="Arial" w:cs="Arial"/>
          <w:sz w:val="18"/>
          <w:szCs w:val="18"/>
          <w:lang w:val="pt-PT"/>
        </w:rPr>
        <w:t>Como </w:t>
      </w:r>
      <w:r w:rsidRPr="00ED4255">
        <w:rPr>
          <w:rFonts w:ascii="Arial" w:hAnsi="Arial" w:cs="Arial"/>
          <w:i/>
          <w:iCs/>
          <w:sz w:val="18"/>
          <w:szCs w:val="18"/>
          <w:lang w:val="pt-PT"/>
        </w:rPr>
        <w:t>Global Top </w:t>
      </w:r>
      <w:proofErr w:type="spellStart"/>
      <w:r w:rsidRPr="00ED4255">
        <w:rPr>
          <w:rFonts w:ascii="Arial" w:hAnsi="Arial" w:cs="Arial"/>
          <w:i/>
          <w:iCs/>
          <w:sz w:val="18"/>
          <w:szCs w:val="18"/>
          <w:lang w:val="pt-PT"/>
        </w:rPr>
        <w:t>Employer</w:t>
      </w:r>
      <w:proofErr w:type="spellEnd"/>
      <w:r w:rsidRPr="00ED4255">
        <w:rPr>
          <w:rFonts w:ascii="Arial" w:hAnsi="Arial" w:cs="Arial"/>
          <w:sz w:val="18"/>
          <w:szCs w:val="18"/>
          <w:lang w:val="pt-PT"/>
        </w:rPr>
        <w:t>, contamos com especialistas em mais de 70 países. Oferecemos também aos nossos clientes acesso a um ecossistema robusto de centros de inovação, bem como a parceiros consolidados e </w:t>
      </w:r>
      <w:proofErr w:type="spellStart"/>
      <w:r w:rsidRPr="00ED4255">
        <w:rPr>
          <w:rFonts w:ascii="Arial" w:hAnsi="Arial" w:cs="Arial"/>
          <w:i/>
          <w:iCs/>
          <w:sz w:val="18"/>
          <w:szCs w:val="18"/>
          <w:lang w:val="pt-PT"/>
        </w:rPr>
        <w:t>startups</w:t>
      </w:r>
      <w:proofErr w:type="spellEnd"/>
      <w:r w:rsidRPr="00ED4255">
        <w:rPr>
          <w:rFonts w:ascii="Arial" w:hAnsi="Arial" w:cs="Arial"/>
          <w:sz w:val="18"/>
          <w:szCs w:val="18"/>
          <w:lang w:val="pt-PT"/>
        </w:rPr>
        <w:t>. A NTT DATA faz parte do Grupo NTT, que investe mais de 3 mil milhões de dólares por ano em investigação e desenvolvimento.    </w:t>
      </w:r>
    </w:p>
    <w:p w14:paraId="576E3D1F" w14:textId="77777777" w:rsidR="00ED4255" w:rsidRPr="00ED4255" w:rsidRDefault="00ED4255" w:rsidP="00ED4255">
      <w:pPr>
        <w:jc w:val="both"/>
        <w:rPr>
          <w:rFonts w:ascii="Arial" w:hAnsi="Arial" w:cs="Arial"/>
          <w:sz w:val="18"/>
          <w:szCs w:val="18"/>
          <w:lang w:val="pt-PT"/>
        </w:rPr>
      </w:pPr>
      <w:r w:rsidRPr="00ED4255">
        <w:rPr>
          <w:rFonts w:ascii="Arial" w:hAnsi="Arial" w:cs="Arial"/>
          <w:sz w:val="18"/>
          <w:szCs w:val="18"/>
          <w:lang w:val="pt-PT"/>
        </w:rPr>
        <w:t>Saiba mais em nttdata.com    </w:t>
      </w:r>
    </w:p>
    <w:p w14:paraId="2B23D365" w14:textId="77777777" w:rsidR="00D328AD" w:rsidRPr="00006C46" w:rsidRDefault="00D328AD" w:rsidP="00D328AD">
      <w:pPr>
        <w:rPr>
          <w:lang w:val="pt-BR"/>
        </w:rPr>
      </w:pPr>
    </w:p>
    <w:p w14:paraId="6585C80D" w14:textId="77777777" w:rsidR="00404F59" w:rsidRPr="00624185" w:rsidRDefault="00404F59" w:rsidP="00404F5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Arial" w:eastAsia="Noto Sans" w:hAnsi="Arial" w:cs="Arial"/>
          <w:color w:val="000000"/>
          <w:sz w:val="18"/>
          <w:szCs w:val="18"/>
        </w:rPr>
      </w:pPr>
      <w:r w:rsidRPr="00624185">
        <w:rPr>
          <w:rStyle w:val="normaltextrun"/>
          <w:rFonts w:ascii="Arial" w:eastAsiaTheme="majorEastAsia" w:hAnsi="Arial" w:cs="Arial"/>
          <w:b/>
          <w:bCs/>
          <w:color w:val="000000"/>
          <w:sz w:val="18"/>
          <w:szCs w:val="18"/>
        </w:rPr>
        <w:t>Para mais informações contactar:</w:t>
      </w:r>
    </w:p>
    <w:p w14:paraId="58587C47" w14:textId="77777777" w:rsidR="00404F59" w:rsidRPr="00624185" w:rsidRDefault="00404F59" w:rsidP="00404F5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5A49CAA" w14:textId="12D3028F" w:rsidR="00404F59" w:rsidRPr="00624185" w:rsidRDefault="00404F59" w:rsidP="00404F5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noProof/>
          <w:sz w:val="22"/>
          <w:szCs w:val="22"/>
        </w:rPr>
      </w:pPr>
      <w:r w:rsidRPr="00624185">
        <w:rPr>
          <w:rFonts w:ascii="Arial" w:hAnsi="Arial" w:cs="Arial"/>
          <w:b/>
          <w:bCs/>
          <w:noProof/>
          <w:sz w:val="22"/>
          <w:szCs w:val="22"/>
        </w:rPr>
        <w:t xml:space="preserve">LIFT CONSULTING </w:t>
      </w:r>
    </w:p>
    <w:p w14:paraId="271AFCAD" w14:textId="77777777" w:rsidR="00404F59" w:rsidRPr="00A2574D" w:rsidRDefault="00404F59" w:rsidP="00404F5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eastAsiaTheme="majorEastAsia" w:hAnsi="Arial" w:cs="Arial"/>
          <w:color w:val="333333"/>
          <w:sz w:val="22"/>
          <w:szCs w:val="22"/>
        </w:rPr>
      </w:pPr>
      <w:r w:rsidRPr="00A2574D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Ana Santos | </w:t>
      </w:r>
      <w:hyperlink r:id="rId14" w:history="1">
        <w:r w:rsidRPr="00A2574D">
          <w:rPr>
            <w:rStyle w:val="Hiperligao"/>
            <w:rFonts w:ascii="Arial" w:eastAsiaTheme="minorEastAsia" w:hAnsi="Arial" w:cs="Arial"/>
            <w:noProof/>
            <w:sz w:val="20"/>
            <w:szCs w:val="20"/>
          </w:rPr>
          <w:t>ana.santos@lift.com.pt</w:t>
        </w:r>
      </w:hyperlink>
      <w:r w:rsidRPr="00A2574D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 | +351 914 409 595</w:t>
      </w:r>
    </w:p>
    <w:p w14:paraId="515C474C" w14:textId="77777777" w:rsidR="00404F59" w:rsidRPr="00A2574D" w:rsidRDefault="00404F59" w:rsidP="00404F59">
      <w:pPr>
        <w:spacing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  <w:r w:rsidRPr="00A2574D">
        <w:rPr>
          <w:rFonts w:ascii="Arial" w:hAnsi="Arial" w:cs="Arial"/>
          <w:sz w:val="20"/>
          <w:szCs w:val="20"/>
        </w:rPr>
        <w:t xml:space="preserve">Hugo Costa| </w:t>
      </w:r>
      <w:hyperlink r:id="rId15" w:history="1">
        <w:r w:rsidRPr="00A2574D">
          <w:rPr>
            <w:rStyle w:val="Hiperligao"/>
            <w:rFonts w:ascii="Arial" w:hAnsi="Arial" w:cs="Arial"/>
            <w:sz w:val="20"/>
            <w:szCs w:val="20"/>
          </w:rPr>
          <w:t>hugo.costa@lift.com.pt</w:t>
        </w:r>
      </w:hyperlink>
      <w:r w:rsidRPr="00A2574D">
        <w:rPr>
          <w:rFonts w:ascii="Arial" w:hAnsi="Arial" w:cs="Arial"/>
          <w:sz w:val="20"/>
          <w:szCs w:val="20"/>
        </w:rPr>
        <w:t xml:space="preserve"> | +351 914 409 524</w:t>
      </w:r>
    </w:p>
    <w:p w14:paraId="5C280F44" w14:textId="77777777" w:rsidR="00404F59" w:rsidRPr="00C76D8D" w:rsidRDefault="00404F59" w:rsidP="00404F59">
      <w:pPr>
        <w:tabs>
          <w:tab w:val="left" w:pos="4860"/>
        </w:tabs>
        <w:rPr>
          <w:rFonts w:ascii="Century Gothic" w:hAnsi="Century Gothic"/>
          <w:bCs/>
        </w:rPr>
      </w:pPr>
    </w:p>
    <w:p w14:paraId="29A4CC75" w14:textId="6252D28A" w:rsidR="00D328AD" w:rsidRPr="00404F59" w:rsidRDefault="00D328AD" w:rsidP="00D328AD"/>
    <w:sectPr w:rsidR="00D328AD" w:rsidRPr="00404F59" w:rsidSect="00A2574D">
      <w:headerReference w:type="default" r:id="rId16"/>
      <w:footerReference w:type="default" r:id="rId1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3F08" w14:textId="77777777" w:rsidR="00A27C71" w:rsidRDefault="00A27C71" w:rsidP="00ED4255">
      <w:pPr>
        <w:spacing w:after="0" w:line="240" w:lineRule="auto"/>
      </w:pPr>
      <w:r>
        <w:separator/>
      </w:r>
    </w:p>
  </w:endnote>
  <w:endnote w:type="continuationSeparator" w:id="0">
    <w:p w14:paraId="5C039F29" w14:textId="77777777" w:rsidR="00A27C71" w:rsidRDefault="00A27C71" w:rsidP="00ED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5B45768" w14:paraId="562EDF2C" w14:textId="77777777" w:rsidTr="45B45768">
      <w:trPr>
        <w:trHeight w:val="300"/>
      </w:trPr>
      <w:tc>
        <w:tcPr>
          <w:tcW w:w="2830" w:type="dxa"/>
        </w:tcPr>
        <w:p w14:paraId="4469B2B7" w14:textId="4CDF8A40" w:rsidR="45B45768" w:rsidRDefault="45B45768" w:rsidP="45B45768">
          <w:pPr>
            <w:pStyle w:val="Cabealho"/>
            <w:ind w:left="-115"/>
          </w:pPr>
        </w:p>
      </w:tc>
      <w:tc>
        <w:tcPr>
          <w:tcW w:w="2830" w:type="dxa"/>
        </w:tcPr>
        <w:p w14:paraId="2051457B" w14:textId="0C59DEFF" w:rsidR="45B45768" w:rsidRDefault="45B45768" w:rsidP="45B45768">
          <w:pPr>
            <w:pStyle w:val="Cabealho"/>
            <w:jc w:val="center"/>
          </w:pPr>
        </w:p>
      </w:tc>
      <w:tc>
        <w:tcPr>
          <w:tcW w:w="2830" w:type="dxa"/>
        </w:tcPr>
        <w:p w14:paraId="52C5044B" w14:textId="13F5EF78" w:rsidR="45B45768" w:rsidRDefault="45B45768" w:rsidP="45B45768">
          <w:pPr>
            <w:pStyle w:val="Cabealho"/>
            <w:ind w:right="-115"/>
            <w:jc w:val="right"/>
          </w:pPr>
        </w:p>
      </w:tc>
    </w:tr>
  </w:tbl>
  <w:p w14:paraId="6DEA3AAD" w14:textId="3B16BF0E" w:rsidR="45B45768" w:rsidRDefault="45B45768" w:rsidP="45B457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E654" w14:textId="77777777" w:rsidR="00A27C71" w:rsidRDefault="00A27C71" w:rsidP="00ED4255">
      <w:pPr>
        <w:spacing w:after="0" w:line="240" w:lineRule="auto"/>
      </w:pPr>
      <w:r>
        <w:separator/>
      </w:r>
    </w:p>
  </w:footnote>
  <w:footnote w:type="continuationSeparator" w:id="0">
    <w:p w14:paraId="72AE427D" w14:textId="77777777" w:rsidR="00A27C71" w:rsidRDefault="00A27C71" w:rsidP="00ED4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C4C9" w14:textId="4F92684B" w:rsidR="00ED4255" w:rsidRDefault="00ED42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967B74" wp14:editId="38B7D446">
          <wp:simplePos x="0" y="0"/>
          <wp:positionH relativeFrom="column">
            <wp:posOffset>3790592</wp:posOffset>
          </wp:positionH>
          <wp:positionV relativeFrom="paragraph">
            <wp:posOffset>-151369</wp:posOffset>
          </wp:positionV>
          <wp:extent cx="1629410" cy="425450"/>
          <wp:effectExtent l="0" t="0" r="0" b="0"/>
          <wp:wrapTight wrapText="bothSides">
            <wp:wrapPolygon edited="0">
              <wp:start x="2020" y="1934"/>
              <wp:lineTo x="1515" y="8704"/>
              <wp:lineTo x="1515" y="13540"/>
              <wp:lineTo x="2525" y="19343"/>
              <wp:lineTo x="5051" y="19343"/>
              <wp:lineTo x="19950" y="15475"/>
              <wp:lineTo x="19950" y="5803"/>
              <wp:lineTo x="5303" y="1934"/>
              <wp:lineTo x="2020" y="1934"/>
            </wp:wrapPolygon>
          </wp:wrapTight>
          <wp:docPr id="1447338189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Comunicado de Imprensa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AD"/>
    <w:rsid w:val="00006C46"/>
    <w:rsid w:val="00041299"/>
    <w:rsid w:val="00163813"/>
    <w:rsid w:val="0021271D"/>
    <w:rsid w:val="0021627F"/>
    <w:rsid w:val="00375B41"/>
    <w:rsid w:val="003A1E60"/>
    <w:rsid w:val="003C572C"/>
    <w:rsid w:val="00404F59"/>
    <w:rsid w:val="00475234"/>
    <w:rsid w:val="00624185"/>
    <w:rsid w:val="006333E5"/>
    <w:rsid w:val="007B6C1C"/>
    <w:rsid w:val="008C6717"/>
    <w:rsid w:val="008F564F"/>
    <w:rsid w:val="00944283"/>
    <w:rsid w:val="00955154"/>
    <w:rsid w:val="009A3562"/>
    <w:rsid w:val="00A2574D"/>
    <w:rsid w:val="00A27C71"/>
    <w:rsid w:val="00A85A3A"/>
    <w:rsid w:val="00CA0C1F"/>
    <w:rsid w:val="00D328AD"/>
    <w:rsid w:val="00ED4255"/>
    <w:rsid w:val="02376053"/>
    <w:rsid w:val="0238A276"/>
    <w:rsid w:val="02FA7DF1"/>
    <w:rsid w:val="05AF2FB6"/>
    <w:rsid w:val="0BC5A647"/>
    <w:rsid w:val="14DB15C4"/>
    <w:rsid w:val="1DA0DF6A"/>
    <w:rsid w:val="1F655A84"/>
    <w:rsid w:val="24CBE9ED"/>
    <w:rsid w:val="288654FC"/>
    <w:rsid w:val="291E1ACB"/>
    <w:rsid w:val="2A93F41C"/>
    <w:rsid w:val="309BC3F6"/>
    <w:rsid w:val="3580A640"/>
    <w:rsid w:val="391CDBE4"/>
    <w:rsid w:val="3C58C428"/>
    <w:rsid w:val="3ED85CEA"/>
    <w:rsid w:val="3FEB1F4A"/>
    <w:rsid w:val="45B45768"/>
    <w:rsid w:val="485082A3"/>
    <w:rsid w:val="50493B1E"/>
    <w:rsid w:val="54FAEC28"/>
    <w:rsid w:val="5C0C2A73"/>
    <w:rsid w:val="5D11C418"/>
    <w:rsid w:val="609B4CF6"/>
    <w:rsid w:val="6B79E198"/>
    <w:rsid w:val="6EBA7693"/>
    <w:rsid w:val="6F0B41E0"/>
    <w:rsid w:val="7B74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98D7A"/>
  <w15:chartTrackingRefBased/>
  <w15:docId w15:val="{488072F2-C64C-41DB-BD19-0870F82D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32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3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2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32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32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32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32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32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32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3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3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3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328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328A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328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328A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328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328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32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3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32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3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32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328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28A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328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3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328A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328A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F564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F564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ED4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4255"/>
  </w:style>
  <w:style w:type="paragraph" w:styleId="Rodap">
    <w:name w:val="footer"/>
    <w:basedOn w:val="Normal"/>
    <w:link w:val="RodapCarter"/>
    <w:uiPriority w:val="99"/>
    <w:unhideWhenUsed/>
    <w:rsid w:val="00ED4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4255"/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Tipodeletrapredefinidodopargrafo"/>
    <w:rsid w:val="00404F59"/>
  </w:style>
  <w:style w:type="paragraph" w:customStyle="1" w:styleId="paragraph">
    <w:name w:val="paragraph"/>
    <w:basedOn w:val="Normal"/>
    <w:rsid w:val="0040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customStyle="1" w:styleId="eop">
    <w:name w:val="eop"/>
    <w:basedOn w:val="Tipodeletrapredefinidodopargrafo"/>
    <w:rsid w:val="00404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ttdata.com/global/en/news/press-release/2025/august/0813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ttdata.com/global/en/news/press-release/2025/december/12190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ttdata.com/global/en/news/press-release/2025/may/05160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ugo.costa@lift.com.pt" TargetMode="External"/><Relationship Id="rId10" Type="http://schemas.openxmlformats.org/officeDocument/2006/relationships/hyperlink" Target="https://pt.nttdata.com/insights/reports/ntt-data-technology-foresigh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na.sant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badae-82f5-44c6-a5ed-7d84be8fc952" xsi:nil="true"/>
    <lcf76f155ced4ddcb4097134ff3c332f xmlns="92d4967f-e124-43f3-a68f-dac69c34ba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D29B9-F524-4E70-B637-A2C78D20C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F9774-3D3A-4F02-8A92-D5AE512BA6E3}">
  <ds:schemaRefs>
    <ds:schemaRef ds:uri="http://schemas.microsoft.com/office/2006/metadata/properties"/>
    <ds:schemaRef ds:uri="http://schemas.microsoft.com/office/infopath/2007/PartnerControls"/>
    <ds:schemaRef ds:uri="ead67a90-63e9-448f-82d8-810c22ec9e46"/>
    <ds:schemaRef ds:uri="da07d6f3-27ee-4d59-a0c1-5f1c5765f294"/>
    <ds:schemaRef ds:uri="c17badae-82f5-44c6-a5ed-7d84be8fc952"/>
    <ds:schemaRef ds:uri="92d4967f-e124-43f3-a68f-dac69c34bad6"/>
  </ds:schemaRefs>
</ds:datastoreItem>
</file>

<file path=customXml/itemProps3.xml><?xml version="1.0" encoding="utf-8"?>
<ds:datastoreItem xmlns:ds="http://schemas.openxmlformats.org/officeDocument/2006/customXml" ds:itemID="{6173DC08-B500-42EC-845A-1CFF692B4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6143</Characters>
  <Application>Microsoft Office Word</Application>
  <DocSecurity>0</DocSecurity>
  <Lines>51</Lines>
  <Paragraphs>14</Paragraphs>
  <ScaleCrop>false</ScaleCrop>
  <Company>NTT Data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Magali Tamburelli</dc:creator>
  <cp:lastModifiedBy>Ana Santos</cp:lastModifiedBy>
  <cp:revision>12</cp:revision>
  <dcterms:created xsi:type="dcterms:W3CDTF">2026-02-19T16:36:00Z</dcterms:created>
  <dcterms:modified xsi:type="dcterms:W3CDTF">2026-02-25T12:00:00Z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