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line="276" w:lineRule="auto"/>
        <w:jc w:val="center"/>
        <w:rPr>
          <w:rFonts w:ascii="Public Sans" w:cs="Public Sans" w:eastAsia="Public Sans" w:hAnsi="Public Sans"/>
          <w:b w:val="1"/>
          <w:bCs w:val="1"/>
          <w:sz w:val="24"/>
          <w:szCs w:val="24"/>
        </w:rPr>
      </w:pPr>
      <w:bookmarkStart w:colFirst="0" w:colLast="0" w:name="_heading=h.u14bj9ppnaph" w:id="0"/>
      <w:bookmarkEnd w:id="0"/>
      <w:r w:rsidDel="00000000" w:rsidR="00000000" w:rsidRPr="00000000">
        <w:rPr>
          <w:rFonts w:ascii="Public Sans" w:cs="Public Sans" w:eastAsia="Public Sans" w:hAnsi="Public Sans"/>
          <w:sz w:val="24"/>
          <w:szCs w:val="24"/>
          <w:rtl w:val="0"/>
        </w:rPr>
        <w:t xml:space="preserve">Polska na drodze do gigawatowych kampusów centrów danych. PLDCA zaprasza na Gateway Poland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rFonts w:ascii="Public Sans" w:cs="Public Sans" w:eastAsia="Public Sans" w:hAnsi="Public Sans"/>
          <w:b w:val="1"/>
          <w:bCs w:val="1"/>
        </w:rPr>
      </w:pPr>
      <w:r w:rsidDel="00000000" w:rsidR="00000000" w:rsidRPr="00000000">
        <w:rPr>
          <w:rFonts w:ascii="Public Sans" w:cs="Public Sans" w:eastAsia="Public Sans" w:hAnsi="Public Sans"/>
          <w:b w:val="1"/>
          <w:bCs w:val="1"/>
          <w:rtl w:val="0"/>
        </w:rPr>
        <w:t xml:space="preserve">Warszawa stanie się w kwietniu centrum debaty o przyszłości infrastruktury cyfrowej w Europie. W dniach 14–15 kwietnia 2026 r. odbędzie się druga edycja konferencji Gateway Poland, organizowanej przez Polski Związek Centrów Danych (PLDCA). </w:t>
      </w:r>
      <w:r w:rsidDel="00000000" w:rsidR="00000000" w:rsidRPr="00000000">
        <w:rPr>
          <w:rFonts w:ascii="Public Sans" w:cs="Public Sans" w:eastAsia="Public Sans" w:hAnsi="Public Sans"/>
          <w:b w:val="1"/>
          <w:bCs w:val="1"/>
          <w:rtl w:val="0"/>
        </w:rPr>
        <w:t xml:space="preserve">Wydarzenie, które w ubiegłym roku zgromadziło ponad 200 uczestników, w tym roku potraja swoją skalę i jest jednym z najważniejszych wydarzeń sektora data center, chmury i AI w Polsce. 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Branża centrów danych jest istotnym filarem gospodarki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 cyfrowej i coraz ważniejszym elementem strategii rozwoju kraju. 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Gateway Poland 2026 to platforma dla spotkań inwestorów, operatorów, 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dostawców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 technologii, przedstawicieli administracji publicznej oraz ekspertów współtworzących przyszłość europejskiej infrastruktury cyfrowej.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Public Sans" w:cs="Public Sans" w:eastAsia="Public Sans" w:hAnsi="Public Sans"/>
          <w:b w:val="1"/>
          <w:bCs w:val="1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– Polska ma potencjał, by stać się regionalnym liderem sektora obliczeniowego. Warunkiem jest jednak skoordynowane działanie – inwestorów, operatorów, regulatorów i sektora energetycznego. Tylko w ten sposób możemy przejść od dynamicznego wzrostu do budowy infrastruktury w skali gigawatowej – mówi </w:t>
      </w:r>
      <w:r w:rsidDel="00000000" w:rsidR="00000000" w:rsidRPr="00000000">
        <w:rPr>
          <w:rFonts w:ascii="Public Sans" w:cs="Public Sans" w:eastAsia="Public Sans" w:hAnsi="Public Sans"/>
          <w:b w:val="1"/>
          <w:bCs w:val="1"/>
          <w:rtl w:val="0"/>
        </w:rPr>
        <w:t xml:space="preserve">Piotr Kowalski, Dyrektor Zarządzający, </w:t>
      </w:r>
      <w:r w:rsidDel="00000000" w:rsidR="00000000" w:rsidRPr="00000000">
        <w:rPr>
          <w:rFonts w:ascii="Public Sans" w:cs="Public Sans" w:eastAsia="Public Sans" w:hAnsi="Public Sans"/>
          <w:b w:val="1"/>
          <w:bCs w:val="1"/>
          <w:rtl w:val="0"/>
        </w:rPr>
        <w:t xml:space="preserve">Polski Związek Centrów Danych (Polish Data Centre Association, PLDCA).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line="276" w:lineRule="auto"/>
        <w:jc w:val="both"/>
        <w:rPr>
          <w:rFonts w:ascii="Public Sans" w:cs="Public Sans" w:eastAsia="Public Sans" w:hAnsi="Public Sans"/>
          <w:sz w:val="22"/>
          <w:szCs w:val="22"/>
        </w:rPr>
      </w:pPr>
      <w:bookmarkStart w:colFirst="0" w:colLast="0" w:name="_heading=h.r7wru9jvnawk" w:id="1"/>
      <w:bookmarkEnd w:id="1"/>
      <w:r w:rsidDel="00000000" w:rsidR="00000000" w:rsidRPr="00000000">
        <w:rPr>
          <w:rFonts w:ascii="Public Sans" w:cs="Public Sans" w:eastAsia="Public Sans" w:hAnsi="Public Sans"/>
          <w:sz w:val="22"/>
          <w:szCs w:val="22"/>
          <w:rtl w:val="0"/>
        </w:rPr>
        <w:t xml:space="preserve">Od megawatów do gigawatów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line="276" w:lineRule="auto"/>
        <w:jc w:val="both"/>
        <w:rPr>
          <w:rFonts w:ascii="Public Sans" w:cs="Public Sans" w:eastAsia="Public Sans" w:hAnsi="Public Sans"/>
          <w:sz w:val="22"/>
          <w:szCs w:val="22"/>
        </w:rPr>
      </w:pPr>
      <w:bookmarkStart w:colFirst="0" w:colLast="0" w:name="_heading=h.4ljmhamlalz3" w:id="2"/>
      <w:bookmarkEnd w:id="2"/>
      <w:r w:rsidDel="00000000" w:rsidR="00000000" w:rsidRPr="00000000">
        <w:rPr>
          <w:rFonts w:ascii="Public Sans" w:cs="Public Sans" w:eastAsia="Public Sans" w:hAnsi="Public Sans"/>
          <w:b w:val="0"/>
          <w:bCs w:val="0"/>
          <w:sz w:val="22"/>
          <w:szCs w:val="22"/>
          <w:rtl w:val="0"/>
        </w:rPr>
        <w:t xml:space="preserve">Tegoroczna edycja odbędzie się w rozszerzonej, dwudniowej formule i zgromadzi ponad 600 uczestników. Wydarzenie rozpocznie Gala Dinner, podczas której po raz pierwszy zostaną wręczone branżowe nagrody dla firm i liderów kształtujących polski rynek data center, a także ogłoszone zostaną wstępne wyniki Raportu Wpływu sektora, opracowywanego przez PLDCA we współpracy z PwC. Drugi dzień konferencji to wystąpienia eksperckie oraz panele dyskusyjne poświęcone warunkom dalszego wzrostu sektora – od rozwoju AI i dostępu do mocy obliczeniowych, przez bezpieczeństwo energetyczne, po kompetencje niezbędne do skalowania infrastruktury cyfrowej.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Public Sans" w:cs="Public Sans" w:eastAsia="Public Sans" w:hAnsi="Public Sans"/>
          <w:b w:val="1"/>
          <w:bCs w:val="1"/>
        </w:rPr>
      </w:pPr>
      <w:r w:rsidDel="00000000" w:rsidR="00000000" w:rsidRPr="00000000">
        <w:rPr>
          <w:rFonts w:ascii="Public Sans" w:cs="Public Sans" w:eastAsia="Public Sans" w:hAnsi="Public Sans"/>
          <w:b w:val="1"/>
          <w:bCs w:val="1"/>
          <w:rtl w:val="0"/>
        </w:rPr>
        <w:t xml:space="preserve">Infrastruktura, energia i kapitał ludzki – filary dalszego rozwoju sektora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Program konferencji koncentruje się na kluczowych kierunkach rozwoju infrastruktury centrów danych w Polsce: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z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asobach inwestycyjnych – dostępie do gruntów oraz nowoczesnej infrastruktury telekomunikacyjnej,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energii – zabezpieczeniu mocy przyłączeniowych, współpracy z operatorem systemu przesyłowego oraz integracji z procesem transformacji energetycznej,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technologii i projektowaniu – budowie bezpiecznych, skalowalnych i efektywnych środowisk IT,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kapitale ludzkim – rozwoju kompetencji i kształceniu kadr dla sektora infrastruktury krytycznej.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Szczególna uwaga zostanie poświęcona rozwojowi krajowego ekosystemu AI i High-Performance Computing – od dostępności mocy obliczeniowych i infrastruktury GPU, przez lokalizację kluczowych inwestycji, po współpracę sektora prywatnego z administracją i środowiskiem naukowym. 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Dyskusje obejmą także gotowość Polski na rosnące zapotrzebowanie na przetwarzanie danych generowane przez rozwój AI i cyfryzację przemysłu. Choć polski rynek centrów danych przekroczył już poziom 200 MW mocy operacyjnej – podwajając swoje zasoby w ciągu zaledwie trzech lat – dalsze skalowanie pozostaje kluczowym wyzwaniem w kontekście konkurencyjności na tle rynków europejskich.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 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Public Sans" w:cs="Public Sans" w:eastAsia="Public Sans" w:hAnsi="Public Sans"/>
          <w:b w:val="1"/>
          <w:bCs w:val="1"/>
        </w:rPr>
      </w:pPr>
      <w:r w:rsidDel="00000000" w:rsidR="00000000" w:rsidRPr="00000000">
        <w:rPr>
          <w:rFonts w:ascii="Public Sans" w:cs="Public Sans" w:eastAsia="Public Sans" w:hAnsi="Public Sans"/>
          <w:b w:val="1"/>
          <w:bCs w:val="1"/>
          <w:rtl w:val="0"/>
        </w:rPr>
        <w:t xml:space="preserve">Otoczenie regulacyjne i dialog z administracją publiczną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Rosnące znaczenie sektora znajduje odzwierciedlenie w zaangażowaniu instytucji publicznych. W konferencji wezmą udział przedstawiciele m.in 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Polskich Sieci Elektroenergetycznych (PSE)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, Forum Energii czy Polskiej Agencji Inwestycji i Handlu a wydarzenie realizowane jest we współpracy merytorycznej z kluczowymi resortami, w tym Ministerstwem Cyfryzacji, Ministerstwem Rozwoju i Technologii oraz Ministerstwem Klimatu i Środowiska.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– Obserwujemy wyraźne przyspieszenie i dojrzewanie rynku centrów danych w Polsce. Branża coraz lepiej się organizuje, a jej znaczenie dostrzegane jest zarówno przez inwestorów, jak i administrację publiczną – mówi </w:t>
      </w:r>
      <w:r w:rsidDel="00000000" w:rsidR="00000000" w:rsidRPr="00000000">
        <w:rPr>
          <w:rFonts w:ascii="Public Sans" w:cs="Public Sans" w:eastAsia="Public Sans" w:hAnsi="Public Sans"/>
          <w:b w:val="1"/>
          <w:bCs w:val="1"/>
          <w:rtl w:val="0"/>
        </w:rPr>
        <w:t xml:space="preserve">Piotr Kowalski.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 – Gateway Poland to przestrzeń realnej rozmowy o tym, jak wykorzystać potencjał Polski i wzmocnić jej pozycję jako regionalnego hubu danych.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line="276" w:lineRule="auto"/>
        <w:jc w:val="both"/>
        <w:rPr>
          <w:rFonts w:ascii="Public Sans" w:cs="Public Sans" w:eastAsia="Public Sans" w:hAnsi="Public Sans"/>
          <w:sz w:val="22"/>
          <w:szCs w:val="22"/>
        </w:rPr>
      </w:pPr>
      <w:bookmarkStart w:colFirst="0" w:colLast="0" w:name="_heading=h.n9r9um8tg8fo" w:id="3"/>
      <w:bookmarkEnd w:id="3"/>
      <w:r w:rsidDel="00000000" w:rsidR="00000000" w:rsidRPr="00000000">
        <w:rPr>
          <w:rFonts w:ascii="Public Sans" w:cs="Public Sans" w:eastAsia="Public Sans" w:hAnsi="Public Sans"/>
          <w:sz w:val="22"/>
          <w:szCs w:val="22"/>
          <w:rtl w:val="0"/>
        </w:rPr>
        <w:t xml:space="preserve">Partnerzy i wsparcie strategiczne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Konferencja organizowana jest przy udziale partnerów technologicznych i infrastrukturalnych, którzy projektują, budują i rozwijają ekosystem cyfrowy w Europie Środkowo-Wschodniej. 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Lista partnerów strategicznych zostanie ogłoszona w najbliższych tygodniach.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Rejestracja oraz szczegółowy program wydarzenia dostępne są na stronie:</w:t>
        <w:br w:type="textWrapping"/>
      </w:r>
      <w:hyperlink r:id="rId7">
        <w:r w:rsidDel="00000000" w:rsidR="00000000" w:rsidRPr="00000000">
          <w:rPr>
            <w:rFonts w:ascii="Public Sans" w:cs="Public Sans" w:eastAsia="Public Sans" w:hAnsi="Public Sans"/>
            <w:rtl w:val="0"/>
          </w:rPr>
          <w:t xml:space="preserve">www.gatewaypoland.pl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Public Sans" w:cs="Public Sans" w:eastAsia="Public Sans" w:hAnsi="Public Sans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Public Sans" w:cs="Public Sans" w:eastAsia="Public Sans" w:hAnsi="Public Sans"/>
          <w:b w:val="1"/>
          <w:bCs w:val="1"/>
          <w:sz w:val="18"/>
          <w:szCs w:val="18"/>
        </w:rPr>
      </w:pPr>
      <w:r w:rsidDel="00000000" w:rsidR="00000000" w:rsidRPr="00000000">
        <w:rPr>
          <w:rFonts w:ascii="Public Sans" w:cs="Public Sans" w:eastAsia="Public Sans" w:hAnsi="Public Sans"/>
          <w:b w:val="1"/>
          <w:bCs w:val="1"/>
          <w:sz w:val="18"/>
          <w:szCs w:val="18"/>
          <w:rtl w:val="0"/>
        </w:rPr>
        <w:t xml:space="preserve">O PLDCA</w:t>
      </w:r>
    </w:p>
    <w:p w:rsidR="00000000" w:rsidDel="00000000" w:rsidP="00000000" w:rsidRDefault="00000000" w:rsidRPr="00000000" w14:paraId="00000016">
      <w:pPr>
        <w:spacing w:before="280" w:line="276" w:lineRule="auto"/>
        <w:jc w:val="both"/>
        <w:rPr>
          <w:rFonts w:ascii="Public Sans" w:cs="Public Sans" w:eastAsia="Public Sans" w:hAnsi="Public Sans"/>
          <w:sz w:val="18"/>
          <w:szCs w:val="18"/>
        </w:rPr>
      </w:pPr>
      <w:r w:rsidDel="00000000" w:rsidR="00000000" w:rsidRPr="00000000">
        <w:rPr>
          <w:rFonts w:ascii="Public Sans" w:cs="Public Sans" w:eastAsia="Public Sans" w:hAnsi="Public Sans"/>
          <w:sz w:val="18"/>
          <w:szCs w:val="18"/>
          <w:rtl w:val="0"/>
        </w:rPr>
        <w:t xml:space="preserve">Polski Związek Centrów Danych (Polish Data Centre Association, PLDCA) jest reprezentantem polskiego sektora centrów danych i zrzesza blisko 70 podmiotów z szerokiego łańcucha wartości branży – od właścicieli i operatorów centrów obliczeniowych, przez firmy inżynieryjne, po firmy technologiczne, integratorów i generalnych wykonawców. PLDCA wzmacnia potencjał branży data center w Polsce, edukuje rynek i buduje nowe miejsca pracy poprzez współpracę z władzami, inicjowanie zmian legislacyjnych oraz wykorzystywanie doświadczeń podobnych organizacji w Europie. PLDCA określa warunki infrastrukturalne sprzyjające realizacji celów strategicznych biznesu, promuje rozwój oraz pozyskiwanie inwestorów oraz wspiera zrównoważony i odpowiedzialny rozwój sektora.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76" w:lineRule="auto"/>
        <w:jc w:val="both"/>
        <w:rPr>
          <w:rFonts w:ascii="Public Sans" w:cs="Public Sans" w:eastAsia="Public Sans" w:hAnsi="Public Sans"/>
          <w:b w:val="1"/>
          <w:bCs w:val="1"/>
          <w:sz w:val="18"/>
          <w:szCs w:val="18"/>
        </w:rPr>
      </w:pPr>
      <w:r w:rsidDel="00000000" w:rsidR="00000000" w:rsidRPr="00000000">
        <w:rPr>
          <w:rFonts w:ascii="Public Sans" w:cs="Public Sans" w:eastAsia="Public Sans" w:hAnsi="Public Sans"/>
          <w:b w:val="1"/>
          <w:bCs w:val="1"/>
          <w:sz w:val="18"/>
          <w:szCs w:val="18"/>
          <w:rtl w:val="0"/>
        </w:rPr>
        <w:t xml:space="preserve">www.pldca.pl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76" w:lineRule="auto"/>
        <w:jc w:val="both"/>
        <w:rPr>
          <w:rFonts w:ascii="Public Sans" w:cs="Public Sans" w:eastAsia="Public Sans" w:hAnsi="Public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76" w:lineRule="auto"/>
        <w:jc w:val="both"/>
        <w:rPr>
          <w:rFonts w:ascii="Public Sans" w:cs="Public Sans" w:eastAsia="Public Sans" w:hAnsi="Public Sans"/>
          <w:sz w:val="20"/>
          <w:szCs w:val="20"/>
        </w:rPr>
      </w:pPr>
      <w:r w:rsidDel="00000000" w:rsidR="00000000" w:rsidRPr="00000000">
        <w:rPr>
          <w:rFonts w:ascii="Public Sans" w:cs="Public Sans" w:eastAsia="Public Sans" w:hAnsi="Public Sans"/>
          <w:sz w:val="20"/>
          <w:szCs w:val="20"/>
          <w:rtl w:val="0"/>
        </w:rPr>
        <w:t xml:space="preserve">Kontakt dla mediów: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b w:val="1"/>
          <w:bCs w:val="1"/>
          <w:sz w:val="20"/>
          <w:szCs w:val="20"/>
        </w:rPr>
      </w:pPr>
      <w:r w:rsidDel="00000000" w:rsidR="00000000" w:rsidRPr="00000000">
        <w:rPr>
          <w:rFonts w:ascii="Public Sans" w:cs="Public Sans" w:eastAsia="Public Sans" w:hAnsi="Public Sans"/>
          <w:b w:val="1"/>
          <w:bCs w:val="1"/>
          <w:sz w:val="20"/>
          <w:szCs w:val="20"/>
          <w:rtl w:val="0"/>
        </w:rPr>
        <w:t xml:space="preserve">Arkadiusz Lorenc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sz w:val="20"/>
          <w:szCs w:val="20"/>
        </w:rPr>
      </w:pPr>
      <w:r w:rsidDel="00000000" w:rsidR="00000000" w:rsidRPr="00000000">
        <w:rPr>
          <w:rFonts w:ascii="Public Sans" w:cs="Public Sans" w:eastAsia="Public Sans" w:hAnsi="Public Sans"/>
          <w:sz w:val="20"/>
          <w:szCs w:val="20"/>
          <w:rtl w:val="0"/>
        </w:rPr>
        <w:t xml:space="preserve">Linkleaders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sz w:val="20"/>
          <w:szCs w:val="20"/>
        </w:rPr>
      </w:pPr>
      <w:r w:rsidDel="00000000" w:rsidR="00000000" w:rsidRPr="00000000">
        <w:rPr>
          <w:rFonts w:ascii="Public Sans" w:cs="Public Sans" w:eastAsia="Public Sans" w:hAnsi="Public Sans"/>
          <w:sz w:val="20"/>
          <w:szCs w:val="20"/>
          <w:rtl w:val="0"/>
        </w:rPr>
        <w:t xml:space="preserve">Senior Consultant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sz w:val="20"/>
          <w:szCs w:val="20"/>
        </w:rPr>
      </w:pPr>
      <w:r w:rsidDel="00000000" w:rsidR="00000000" w:rsidRPr="00000000">
        <w:rPr>
          <w:rFonts w:ascii="Public Sans" w:cs="Public Sans" w:eastAsia="Public Sans" w:hAnsi="Public Sans"/>
          <w:sz w:val="20"/>
          <w:szCs w:val="20"/>
          <w:rtl w:val="0"/>
        </w:rPr>
        <w:t xml:space="preserve">M: +48 538 113 774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sz w:val="20"/>
          <w:szCs w:val="20"/>
        </w:rPr>
      </w:pPr>
      <w:r w:rsidDel="00000000" w:rsidR="00000000" w:rsidRPr="00000000">
        <w:rPr>
          <w:rFonts w:ascii="Public Sans" w:cs="Public Sans" w:eastAsia="Public Sans" w:hAnsi="Public Sans"/>
          <w:sz w:val="20"/>
          <w:szCs w:val="20"/>
          <w:rtl w:val="0"/>
        </w:rPr>
        <w:t xml:space="preserve">arkadiusz.lorenc@linkleaders.pl </w:t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ublic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438593" cy="445582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593" cy="4455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uiPriority w:val="99"/>
    <w:unhideWhenUsed w:val="1"/>
    <w:rsid w:val="00B951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kstkomentarza">
    <w:name w:val="annotation text"/>
    <w:link w:val="TekstkomentarzaZnak"/>
    <w:uiPriority w:val="99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Akapitzlist">
    <w:name w:val="List Paragraph"/>
    <w:uiPriority w:val="34"/>
    <w:qFormat w:val="1"/>
    <w:rsid w:val="001D7D22"/>
    <w:pPr>
      <w:ind w:left="720"/>
      <w:contextualSpacing w:val="1"/>
    </w:pPr>
  </w:style>
  <w:style w:type="paragraph" w:styleId="Tekstprzypisudolnego">
    <w:name w:val="footnote text"/>
    <w:link w:val="TekstprzypisudolnegoZnak"/>
    <w:uiPriority w:val="99"/>
    <w:semiHidden w:val="1"/>
    <w:unhideWhenUsed w:val="1"/>
    <w:rsid w:val="008F5BDE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8F5B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8F5BDE"/>
    <w:rPr>
      <w:vertAlign w:val="superscript"/>
    </w:rPr>
  </w:style>
  <w:style w:type="paragraph" w:styleId="Tekstdymka">
    <w:name w:val="Balloon Text"/>
    <w:link w:val="TekstdymkaZnak"/>
    <w:uiPriority w:val="99"/>
    <w:semiHidden w:val="1"/>
    <w:unhideWhenUsed w:val="1"/>
    <w:rsid w:val="00E3748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37486"/>
    <w:rPr>
      <w:rFonts w:ascii="Segoe UI" w:cs="Segoe UI" w:hAnsi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002AA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002AA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atewaypoland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-regular.ttf"/><Relationship Id="rId2" Type="http://schemas.openxmlformats.org/officeDocument/2006/relationships/font" Target="fonts/PublicSans-bold.ttf"/><Relationship Id="rId3" Type="http://schemas.openxmlformats.org/officeDocument/2006/relationships/font" Target="fonts/PublicSans-italic.ttf"/><Relationship Id="rId4" Type="http://schemas.openxmlformats.org/officeDocument/2006/relationships/font" Target="fonts/Public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cyNM1zF74CW4raD3h0G3TcOoeQ==">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2025-09-03T13:23:00Z</dcterms:created>
  <dc:creator>Użytkownik systemu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27df7bd1-4181-40d8-a0e3-905a8c20a426</vt:lpwstr>
  </property>
</Properties>
</file>