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67F6" w14:textId="77777777" w:rsidR="007B20D3" w:rsidRPr="00007281" w:rsidRDefault="007B20D3">
      <w:pPr>
        <w:pStyle w:val="Tekstpodstawowy"/>
        <w:ind w:left="4302"/>
        <w:rPr>
          <w:rFonts w:ascii="Times New Roman"/>
          <w:sz w:val="20"/>
          <w:lang w:val="pl-PL"/>
        </w:rPr>
      </w:pPr>
    </w:p>
    <w:p w14:paraId="34E63B69" w14:textId="6988C9CC" w:rsidR="00B30EC3" w:rsidRPr="00007281" w:rsidRDefault="00B30EC3">
      <w:pPr>
        <w:pStyle w:val="Tekstpodstawowy"/>
        <w:ind w:left="4302"/>
        <w:rPr>
          <w:rFonts w:ascii="Times New Roman"/>
          <w:sz w:val="20"/>
          <w:lang w:val="pl-PL"/>
        </w:rPr>
      </w:pPr>
    </w:p>
    <w:p w14:paraId="34E63B6A" w14:textId="77777777" w:rsidR="00B30EC3" w:rsidRPr="00007281" w:rsidRDefault="00B30EC3">
      <w:pPr>
        <w:pStyle w:val="Tekstpodstawowy"/>
        <w:rPr>
          <w:rFonts w:ascii="Times New Roman"/>
          <w:sz w:val="20"/>
          <w:lang w:val="pl-PL"/>
        </w:rPr>
      </w:pPr>
    </w:p>
    <w:p w14:paraId="34E63B6B" w14:textId="77777777" w:rsidR="00B30EC3" w:rsidRPr="00007281" w:rsidRDefault="00B30EC3">
      <w:pPr>
        <w:pStyle w:val="Tekstpodstawowy"/>
        <w:spacing w:before="13" w:after="1"/>
        <w:rPr>
          <w:rFonts w:ascii="Times New Roman"/>
          <w:sz w:val="20"/>
          <w:lang w:val="pl-PL"/>
        </w:rPr>
      </w:pPr>
    </w:p>
    <w:tbl>
      <w:tblPr>
        <w:tblStyle w:val="TableNormal"/>
        <w:tblW w:w="0" w:type="auto"/>
        <w:tblInd w:w="1148" w:type="dxa"/>
        <w:tblLayout w:type="fixed"/>
        <w:tblLook w:val="01E0" w:firstRow="1" w:lastRow="1" w:firstColumn="1" w:lastColumn="1" w:noHBand="0" w:noVBand="0"/>
      </w:tblPr>
      <w:tblGrid>
        <w:gridCol w:w="2631"/>
      </w:tblGrid>
      <w:tr w:rsidR="00B30EC3" w:rsidRPr="00007281" w14:paraId="34E63B6D" w14:textId="77777777" w:rsidTr="002C616C">
        <w:trPr>
          <w:trHeight w:val="213"/>
        </w:trPr>
        <w:tc>
          <w:tcPr>
            <w:tcW w:w="2631" w:type="dxa"/>
          </w:tcPr>
          <w:p w14:paraId="34E63B6C" w14:textId="0A58F90C" w:rsidR="00B30EC3" w:rsidRPr="00007281" w:rsidRDefault="00826521" w:rsidP="002C616C">
            <w:pPr>
              <w:pStyle w:val="TableParagraph"/>
              <w:spacing w:before="0" w:line="220" w:lineRule="exact"/>
              <w:jc w:val="left"/>
              <w:rPr>
                <w:rFonts w:ascii="Times New Roman"/>
                <w:b/>
                <w:i/>
                <w:sz w:val="21"/>
                <w:lang w:val="pl-PL"/>
              </w:rPr>
            </w:pPr>
            <w:r w:rsidRPr="00007281">
              <w:rPr>
                <w:rFonts w:ascii="Times New Roman"/>
                <w:b/>
                <w:i/>
                <w:color w:val="040033"/>
                <w:sz w:val="21"/>
                <w:lang w:val="pl-PL"/>
              </w:rPr>
              <w:t>Informacja prasowa</w:t>
            </w:r>
          </w:p>
        </w:tc>
      </w:tr>
      <w:tr w:rsidR="00B30EC3" w:rsidRPr="00007281" w14:paraId="34E63B6F" w14:textId="77777777" w:rsidTr="002C616C">
        <w:trPr>
          <w:trHeight w:val="114"/>
        </w:trPr>
        <w:tc>
          <w:tcPr>
            <w:tcW w:w="2631" w:type="dxa"/>
          </w:tcPr>
          <w:p w14:paraId="34E63B6E" w14:textId="75824EB3" w:rsidR="00B30EC3" w:rsidRPr="00007281" w:rsidRDefault="001B6A10" w:rsidP="002C616C">
            <w:pPr>
              <w:pStyle w:val="TableParagraph"/>
              <w:spacing w:before="6" w:line="102" w:lineRule="exact"/>
              <w:ind w:right="51"/>
              <w:jc w:val="left"/>
              <w:rPr>
                <w:b/>
                <w:sz w:val="10"/>
                <w:lang w:val="pl-PL"/>
              </w:rPr>
            </w:pPr>
            <w:r>
              <w:rPr>
                <w:b/>
                <w:color w:val="040033"/>
                <w:sz w:val="10"/>
                <w:lang w:val="pl-PL"/>
              </w:rPr>
              <w:t xml:space="preserve">20 </w:t>
            </w:r>
            <w:r w:rsidR="00826521" w:rsidRPr="00007281">
              <w:rPr>
                <w:b/>
                <w:color w:val="040033"/>
                <w:sz w:val="10"/>
                <w:lang w:val="pl-PL"/>
              </w:rPr>
              <w:t>LUTEGO</w:t>
            </w:r>
            <w:r w:rsidR="0016286F" w:rsidRPr="00007281">
              <w:rPr>
                <w:b/>
                <w:color w:val="040033"/>
                <w:spacing w:val="-5"/>
                <w:sz w:val="10"/>
                <w:lang w:val="pl-PL"/>
              </w:rPr>
              <w:t xml:space="preserve"> </w:t>
            </w:r>
            <w:r w:rsidR="0016286F" w:rsidRPr="00007281">
              <w:rPr>
                <w:b/>
                <w:color w:val="040033"/>
                <w:spacing w:val="-4"/>
                <w:sz w:val="10"/>
                <w:lang w:val="pl-PL"/>
              </w:rPr>
              <w:t>202</w:t>
            </w:r>
            <w:r w:rsidR="00B66415" w:rsidRPr="00007281">
              <w:rPr>
                <w:b/>
                <w:color w:val="040033"/>
                <w:spacing w:val="-4"/>
                <w:sz w:val="10"/>
                <w:lang w:val="pl-PL"/>
              </w:rPr>
              <w:t>6</w:t>
            </w:r>
          </w:p>
        </w:tc>
      </w:tr>
    </w:tbl>
    <w:p w14:paraId="34E63B70" w14:textId="77777777" w:rsidR="00B30EC3" w:rsidRPr="00007281" w:rsidRDefault="00B30EC3">
      <w:pPr>
        <w:pStyle w:val="Tekstpodstawowy"/>
        <w:spacing w:before="272"/>
        <w:rPr>
          <w:rFonts w:ascii="Times New Roman"/>
          <w:sz w:val="32"/>
          <w:lang w:val="pl-PL"/>
        </w:rPr>
      </w:pPr>
    </w:p>
    <w:p w14:paraId="34E63B72" w14:textId="3ED5FCB4" w:rsidR="00B30EC3" w:rsidRPr="00007281" w:rsidRDefault="00826521" w:rsidP="002C616C">
      <w:pPr>
        <w:pStyle w:val="Tytu"/>
        <w:ind w:left="993" w:right="1135"/>
        <w:rPr>
          <w:lang w:val="pl-PL"/>
        </w:rPr>
      </w:pPr>
      <w:r w:rsidRPr="00007281">
        <w:rPr>
          <w:color w:val="040033"/>
          <w:lang w:val="pl-PL"/>
        </w:rPr>
        <w:t>Accor podsumowuje 2025 rok solidnymi wynikami</w:t>
      </w:r>
    </w:p>
    <w:p w14:paraId="2114D5DB" w14:textId="5BE8E449" w:rsidR="009D20F6" w:rsidRPr="00007281" w:rsidRDefault="00920E4E" w:rsidP="009D20F6">
      <w:pPr>
        <w:tabs>
          <w:tab w:val="left" w:pos="9639"/>
        </w:tabs>
        <w:spacing w:before="561" w:line="360" w:lineRule="auto"/>
        <w:ind w:left="993" w:right="1139"/>
        <w:jc w:val="both"/>
        <w:rPr>
          <w:b/>
          <w:bCs/>
          <w:color w:val="74758B"/>
          <w:sz w:val="19"/>
          <w:szCs w:val="19"/>
          <w:lang w:val="pl-PL"/>
        </w:rPr>
      </w:pPr>
      <w:r w:rsidRPr="00920E4E">
        <w:rPr>
          <w:b/>
          <w:bCs/>
          <w:color w:val="74758B"/>
          <w:sz w:val="19"/>
          <w:szCs w:val="19"/>
          <w:lang w:val="pl-PL"/>
        </w:rPr>
        <w:t xml:space="preserve">Accor, wiodąca </w:t>
      </w:r>
      <w:r w:rsidR="00791404">
        <w:rPr>
          <w:b/>
          <w:bCs/>
          <w:color w:val="74758B"/>
          <w:sz w:val="19"/>
          <w:szCs w:val="19"/>
          <w:lang w:val="pl-PL"/>
        </w:rPr>
        <w:t>grupa</w:t>
      </w:r>
      <w:r w:rsidRPr="00920E4E">
        <w:rPr>
          <w:b/>
          <w:bCs/>
          <w:color w:val="74758B"/>
          <w:sz w:val="19"/>
          <w:szCs w:val="19"/>
          <w:lang w:val="pl-PL"/>
        </w:rPr>
        <w:t xml:space="preserve"> hotelowa na świecie, odnotowała kolejny rok silnych wzrostów. Przychody wyniosły 5 639 milionów euro, a powtarzalny wynik EBITDA sięgnął 1 201 milionów euro.</w:t>
      </w:r>
      <w:r w:rsidR="00791404">
        <w:rPr>
          <w:b/>
          <w:bCs/>
          <w:color w:val="74758B"/>
          <w:sz w:val="19"/>
          <w:szCs w:val="19"/>
          <w:lang w:val="pl-PL"/>
        </w:rPr>
        <w:t xml:space="preserve"> </w:t>
      </w:r>
      <w:r w:rsidR="00587579" w:rsidRPr="00587579">
        <w:rPr>
          <w:b/>
          <w:bCs/>
          <w:color w:val="74758B"/>
          <w:sz w:val="19"/>
          <w:szCs w:val="19"/>
          <w:lang w:val="pl-PL"/>
        </w:rPr>
        <w:t xml:space="preserve">Jak podsumowuje </w:t>
      </w:r>
      <w:proofErr w:type="spellStart"/>
      <w:r w:rsidR="00587579" w:rsidRPr="00587579">
        <w:rPr>
          <w:b/>
          <w:bCs/>
          <w:color w:val="74758B"/>
          <w:sz w:val="19"/>
          <w:szCs w:val="19"/>
          <w:lang w:val="pl-PL"/>
        </w:rPr>
        <w:t>Sébastien</w:t>
      </w:r>
      <w:proofErr w:type="spellEnd"/>
      <w:r w:rsidR="00587579" w:rsidRPr="00587579">
        <w:rPr>
          <w:b/>
          <w:bCs/>
          <w:color w:val="74758B"/>
          <w:sz w:val="19"/>
          <w:szCs w:val="19"/>
          <w:lang w:val="pl-PL"/>
        </w:rPr>
        <w:t xml:space="preserve"> </w:t>
      </w:r>
      <w:proofErr w:type="spellStart"/>
      <w:r w:rsidR="00587579" w:rsidRPr="00587579">
        <w:rPr>
          <w:b/>
          <w:bCs/>
          <w:color w:val="74758B"/>
          <w:sz w:val="19"/>
          <w:szCs w:val="19"/>
          <w:lang w:val="pl-PL"/>
        </w:rPr>
        <w:t>Bazin</w:t>
      </w:r>
      <w:proofErr w:type="spellEnd"/>
      <w:r w:rsidR="00587579" w:rsidRPr="00587579">
        <w:rPr>
          <w:b/>
          <w:bCs/>
          <w:color w:val="74758B"/>
          <w:sz w:val="19"/>
          <w:szCs w:val="19"/>
          <w:lang w:val="pl-PL"/>
        </w:rPr>
        <w:t xml:space="preserve">, </w:t>
      </w:r>
      <w:proofErr w:type="spellStart"/>
      <w:r w:rsidR="00587579" w:rsidRPr="00587579">
        <w:rPr>
          <w:b/>
          <w:bCs/>
          <w:color w:val="74758B"/>
          <w:sz w:val="19"/>
          <w:szCs w:val="19"/>
          <w:lang w:val="pl-PL"/>
        </w:rPr>
        <w:t>Chairman</w:t>
      </w:r>
      <w:proofErr w:type="spellEnd"/>
      <w:r w:rsidR="00587579" w:rsidRPr="00587579">
        <w:rPr>
          <w:b/>
          <w:bCs/>
          <w:color w:val="74758B"/>
          <w:sz w:val="19"/>
          <w:szCs w:val="19"/>
          <w:lang w:val="pl-PL"/>
        </w:rPr>
        <w:t xml:space="preserve"> &amp; C</w:t>
      </w:r>
      <w:r w:rsidR="00985F13">
        <w:rPr>
          <w:b/>
          <w:bCs/>
          <w:color w:val="74758B"/>
          <w:sz w:val="19"/>
          <w:szCs w:val="19"/>
          <w:lang w:val="pl-PL"/>
        </w:rPr>
        <w:t xml:space="preserve">hief </w:t>
      </w:r>
      <w:r w:rsidR="00587579" w:rsidRPr="00587579">
        <w:rPr>
          <w:b/>
          <w:bCs/>
          <w:color w:val="74758B"/>
          <w:sz w:val="19"/>
          <w:szCs w:val="19"/>
          <w:lang w:val="pl-PL"/>
        </w:rPr>
        <w:t>E</w:t>
      </w:r>
      <w:r w:rsidR="00985F13">
        <w:rPr>
          <w:b/>
          <w:bCs/>
          <w:color w:val="74758B"/>
          <w:sz w:val="19"/>
          <w:szCs w:val="19"/>
          <w:lang w:val="pl-PL"/>
        </w:rPr>
        <w:t xml:space="preserve">xecutive </w:t>
      </w:r>
      <w:r w:rsidR="00587579" w:rsidRPr="00587579">
        <w:rPr>
          <w:b/>
          <w:bCs/>
          <w:color w:val="74758B"/>
          <w:sz w:val="19"/>
          <w:szCs w:val="19"/>
          <w:lang w:val="pl-PL"/>
        </w:rPr>
        <w:t>O</w:t>
      </w:r>
      <w:r w:rsidR="00985F13">
        <w:rPr>
          <w:b/>
          <w:bCs/>
          <w:color w:val="74758B"/>
          <w:sz w:val="19"/>
          <w:szCs w:val="19"/>
          <w:lang w:val="pl-PL"/>
        </w:rPr>
        <w:t>fficer</w:t>
      </w:r>
      <w:r w:rsidR="00587579" w:rsidRPr="00587579">
        <w:rPr>
          <w:b/>
          <w:bCs/>
          <w:color w:val="74758B"/>
          <w:sz w:val="19"/>
          <w:szCs w:val="19"/>
          <w:lang w:val="pl-PL"/>
        </w:rPr>
        <w:t xml:space="preserve"> Accor, osiągnięte rezultaty i ich konsekwentna poprawa potwierdzają siłę modelu biznesowego </w:t>
      </w:r>
      <w:r w:rsidR="009D20F6" w:rsidRPr="00007281">
        <w:rPr>
          <w:b/>
          <w:bCs/>
          <w:color w:val="74758B"/>
          <w:sz w:val="19"/>
          <w:szCs w:val="19"/>
          <w:lang w:val="pl-PL"/>
        </w:rPr>
        <w:t>grupy.</w:t>
      </w:r>
    </w:p>
    <w:p w14:paraId="52BEC911" w14:textId="77777777" w:rsidR="00346CBA" w:rsidRPr="00007281" w:rsidRDefault="00346CBA" w:rsidP="009D20F6">
      <w:pPr>
        <w:pStyle w:val="Tekstpodstawowy"/>
        <w:tabs>
          <w:tab w:val="left" w:pos="9639"/>
        </w:tabs>
        <w:spacing w:line="331" w:lineRule="auto"/>
        <w:ind w:left="993" w:right="1189"/>
        <w:jc w:val="both"/>
        <w:rPr>
          <w:color w:val="74758B"/>
          <w:lang w:val="pl-PL"/>
        </w:rPr>
      </w:pPr>
    </w:p>
    <w:p w14:paraId="0665CB4A" w14:textId="4E20940F" w:rsidR="00791404" w:rsidRDefault="00791404" w:rsidP="00791404">
      <w:pPr>
        <w:pStyle w:val="Tekstpodstawowy"/>
        <w:tabs>
          <w:tab w:val="left" w:pos="9639"/>
        </w:tabs>
        <w:spacing w:line="331" w:lineRule="auto"/>
        <w:ind w:left="993" w:right="1189"/>
        <w:jc w:val="both"/>
        <w:rPr>
          <w:color w:val="74758B"/>
          <w:lang w:val="pl-PL"/>
        </w:rPr>
      </w:pPr>
      <w:r w:rsidRPr="00791404">
        <w:rPr>
          <w:color w:val="74758B"/>
          <w:lang w:val="pl-PL"/>
        </w:rPr>
        <w:t xml:space="preserve">W 2025 roku całkowite przychody wzrosły o 4,5% (przy stałych kursach wymiany walut) w porównaniu z rokiem poprzednim. Na ten wynik złożył się stabilny wzrost o 2,4% w dywizji Premium, Midscale &amp; Economy (PM&amp;E) oraz </w:t>
      </w:r>
      <w:r w:rsidR="00184879">
        <w:rPr>
          <w:color w:val="74758B"/>
          <w:lang w:val="pl-PL"/>
        </w:rPr>
        <w:t xml:space="preserve">o </w:t>
      </w:r>
      <w:r w:rsidRPr="00791404">
        <w:rPr>
          <w:color w:val="74758B"/>
          <w:lang w:val="pl-PL"/>
        </w:rPr>
        <w:t xml:space="preserve">9,8% w segmencie Luxury &amp; Lifestyle (L&amp;L). Skonsolidowany wynik EBITDA zanotował z kolei wzrost o 13,3% względem ubiegłego roku, przewyższając wcześniej ogłoszone prognozy </w:t>
      </w:r>
      <w:r w:rsidR="002372E7">
        <w:rPr>
          <w:color w:val="74758B"/>
          <w:lang w:val="pl-PL"/>
        </w:rPr>
        <w:t>g</w:t>
      </w:r>
      <w:r w:rsidRPr="00791404">
        <w:rPr>
          <w:color w:val="74758B"/>
          <w:lang w:val="pl-PL"/>
        </w:rPr>
        <w:t xml:space="preserve">rupy. Globalny wskaźnik </w:t>
      </w:r>
      <w:proofErr w:type="spellStart"/>
      <w:r w:rsidRPr="00791404">
        <w:rPr>
          <w:color w:val="74758B"/>
          <w:lang w:val="pl-PL"/>
        </w:rPr>
        <w:t>RevPAR</w:t>
      </w:r>
      <w:proofErr w:type="spellEnd"/>
      <w:r w:rsidRPr="00791404">
        <w:rPr>
          <w:color w:val="74758B"/>
          <w:lang w:val="pl-PL"/>
        </w:rPr>
        <w:t xml:space="preserve"> wzrósł o 4,2%.</w:t>
      </w:r>
    </w:p>
    <w:p w14:paraId="369CC763" w14:textId="77777777" w:rsidR="00791404" w:rsidRPr="00791404" w:rsidRDefault="00791404" w:rsidP="00791404">
      <w:pPr>
        <w:pStyle w:val="Tekstpodstawowy"/>
        <w:tabs>
          <w:tab w:val="left" w:pos="9639"/>
        </w:tabs>
        <w:spacing w:line="331" w:lineRule="auto"/>
        <w:ind w:left="993" w:right="1189"/>
        <w:jc w:val="both"/>
        <w:rPr>
          <w:color w:val="74758B"/>
          <w:lang w:val="pl-PL"/>
        </w:rPr>
      </w:pPr>
    </w:p>
    <w:p w14:paraId="0A348265" w14:textId="7E41D021" w:rsidR="00791404" w:rsidRPr="00791404" w:rsidRDefault="00791404" w:rsidP="00791404">
      <w:pPr>
        <w:pStyle w:val="Tekstpodstawowy"/>
        <w:tabs>
          <w:tab w:val="left" w:pos="9639"/>
        </w:tabs>
        <w:spacing w:line="331" w:lineRule="auto"/>
        <w:ind w:left="993" w:right="1189"/>
        <w:jc w:val="both"/>
        <w:rPr>
          <w:color w:val="74758B"/>
          <w:lang w:val="pl-PL"/>
        </w:rPr>
      </w:pPr>
      <w:r w:rsidRPr="00791404">
        <w:rPr>
          <w:color w:val="74758B"/>
          <w:lang w:val="pl-PL"/>
        </w:rPr>
        <w:t xml:space="preserve">Pomimo zmiennej sytuacji makroekonomicznej i geopolitycznej, </w:t>
      </w:r>
      <w:r w:rsidR="002372E7">
        <w:rPr>
          <w:color w:val="74758B"/>
          <w:lang w:val="pl-PL"/>
        </w:rPr>
        <w:t>g</w:t>
      </w:r>
      <w:r w:rsidRPr="00791404">
        <w:rPr>
          <w:color w:val="74758B"/>
          <w:lang w:val="pl-PL"/>
        </w:rPr>
        <w:t>rupa po raz kolejny udowodniła zdolność do osiągania wyników zgodnych ze swoimi średnioterminowymi celami, wyznaczonymi jeszcze w 2023 roku. Kluczowymi czynnikami sukcesu okazały się: skuteczna organizacja oparta na dwóch niezależnych dywizjach, strategiczna dywersyfikacja geograficzna portfolio oraz wzmocnienie platform dystrybucyjnych – w tym ciągły, dynamiczny rozwój programu lojalnościowego ALL Accor.</w:t>
      </w:r>
    </w:p>
    <w:p w14:paraId="726932D0" w14:textId="77777777" w:rsidR="004A1A52" w:rsidRPr="00007281" w:rsidRDefault="004A1A52" w:rsidP="004A1A52">
      <w:pPr>
        <w:pStyle w:val="Tekstpodstawowy"/>
        <w:tabs>
          <w:tab w:val="left" w:pos="9639"/>
        </w:tabs>
        <w:spacing w:line="331" w:lineRule="auto"/>
        <w:ind w:left="993" w:right="1189"/>
        <w:jc w:val="both"/>
        <w:rPr>
          <w:color w:val="74758B"/>
          <w:lang w:val="pl-PL"/>
        </w:rPr>
      </w:pPr>
    </w:p>
    <w:p w14:paraId="46181BE6" w14:textId="1AC77919" w:rsidR="00BB4DEB" w:rsidRPr="00B176B3" w:rsidRDefault="0016286F" w:rsidP="00B176B3">
      <w:pPr>
        <w:pStyle w:val="Tekstpodstawowy"/>
        <w:tabs>
          <w:tab w:val="left" w:pos="9639"/>
        </w:tabs>
        <w:spacing w:line="331" w:lineRule="auto"/>
        <w:ind w:left="993" w:right="1189"/>
        <w:jc w:val="both"/>
        <w:rPr>
          <w:i/>
          <w:iCs/>
          <w:color w:val="74758B"/>
          <w:lang w:val="pl-PL"/>
        </w:rPr>
      </w:pPr>
      <w:proofErr w:type="spellStart"/>
      <w:r w:rsidRPr="00007281">
        <w:rPr>
          <w:b/>
          <w:bCs/>
          <w:color w:val="74758B"/>
          <w:lang w:val="pl-PL"/>
        </w:rPr>
        <w:t>Sébastien</w:t>
      </w:r>
      <w:proofErr w:type="spellEnd"/>
      <w:r w:rsidRPr="00007281">
        <w:rPr>
          <w:b/>
          <w:bCs/>
          <w:color w:val="74758B"/>
          <w:lang w:val="pl-PL"/>
        </w:rPr>
        <w:t xml:space="preserve"> </w:t>
      </w:r>
      <w:proofErr w:type="spellStart"/>
      <w:r w:rsidRPr="00007281">
        <w:rPr>
          <w:b/>
          <w:bCs/>
          <w:color w:val="74758B"/>
          <w:lang w:val="pl-PL"/>
        </w:rPr>
        <w:t>Bazin</w:t>
      </w:r>
      <w:proofErr w:type="spellEnd"/>
      <w:r w:rsidRPr="00007281">
        <w:rPr>
          <w:b/>
          <w:bCs/>
          <w:color w:val="74758B"/>
          <w:lang w:val="pl-PL"/>
        </w:rPr>
        <w:t xml:space="preserve">, </w:t>
      </w:r>
      <w:proofErr w:type="spellStart"/>
      <w:r w:rsidRPr="00007281">
        <w:rPr>
          <w:b/>
          <w:bCs/>
          <w:color w:val="74758B"/>
          <w:lang w:val="pl-PL"/>
        </w:rPr>
        <w:t>Chairman</w:t>
      </w:r>
      <w:proofErr w:type="spellEnd"/>
      <w:r w:rsidRPr="00007281">
        <w:rPr>
          <w:b/>
          <w:bCs/>
          <w:color w:val="74758B"/>
          <w:lang w:val="pl-PL"/>
        </w:rPr>
        <w:t xml:space="preserve"> </w:t>
      </w:r>
      <w:r w:rsidR="00651EDF">
        <w:rPr>
          <w:b/>
          <w:bCs/>
          <w:color w:val="74758B"/>
          <w:lang w:val="pl-PL"/>
        </w:rPr>
        <w:t>&amp;</w:t>
      </w:r>
      <w:r w:rsidRPr="00007281">
        <w:rPr>
          <w:b/>
          <w:bCs/>
          <w:color w:val="74758B"/>
          <w:lang w:val="pl-PL"/>
        </w:rPr>
        <w:t xml:space="preserve"> Chief Executive Officer</w:t>
      </w:r>
      <w:r w:rsidR="00452D04">
        <w:rPr>
          <w:b/>
          <w:bCs/>
          <w:color w:val="74758B"/>
          <w:lang w:val="pl-PL"/>
        </w:rPr>
        <w:t>,</w:t>
      </w:r>
      <w:r w:rsidRPr="00007281">
        <w:rPr>
          <w:b/>
          <w:bCs/>
          <w:color w:val="74758B"/>
          <w:lang w:val="pl-PL"/>
        </w:rPr>
        <w:t xml:space="preserve"> Accor</w:t>
      </w:r>
      <w:r w:rsidR="001B5F22" w:rsidRPr="00007281">
        <w:rPr>
          <w:color w:val="74758B"/>
          <w:lang w:val="pl-PL"/>
        </w:rPr>
        <w:t>, podkreśla:</w:t>
      </w:r>
      <w:r w:rsidR="001B5F22" w:rsidRPr="00007281">
        <w:rPr>
          <w:i/>
          <w:iCs/>
          <w:color w:val="74758B"/>
          <w:lang w:val="pl-PL"/>
        </w:rPr>
        <w:t xml:space="preserve"> </w:t>
      </w:r>
      <w:r w:rsidR="004A1A52" w:rsidRPr="00007281">
        <w:rPr>
          <w:i/>
          <w:iCs/>
          <w:color w:val="74758B"/>
          <w:lang w:val="pl-PL"/>
        </w:rPr>
        <w:t>„</w:t>
      </w:r>
      <w:r w:rsidR="00611E64" w:rsidRPr="00611E64">
        <w:rPr>
          <w:i/>
          <w:iCs/>
          <w:color w:val="74758B"/>
          <w:lang w:val="pl-PL"/>
        </w:rPr>
        <w:t>W 2025 roku Accor ponownie wypracował solidne wyniki, z sukcesem realizując średnioterminowe cele. Kolejny rok wzrostów to najlepszy dowód na siłę naszego modelu biznesowego, atrakcyjność portfolio marek i trafnie obraną strategię geograficzną. To także bezpośrednia zasługa ogromnego zaangażowania wszystkich naszych zespołów. Mając tak mocne fundamenty – w tym rosnącą platformę dystrybucyjną, świetnie działający program lojalnościowy, innowacyjne narzędzia oparte na sztucznej inteligencji oraz bogaty portfel inwestycji – możemy rozwijać się jeszcze szybciej i skuteczniej. W 2026 roku z pełną determinacją kontynuujemy naszą strategię. Jestem przekonany, że przełoży się to na kolejne, jeszcze lepsze wyniki operacyjne i finansowe</w:t>
      </w:r>
      <w:r w:rsidR="0085434E" w:rsidRPr="0085434E">
        <w:rPr>
          <w:i/>
          <w:iCs/>
          <w:color w:val="74758B"/>
          <w:lang w:val="pl-PL"/>
        </w:rPr>
        <w:t>.</w:t>
      </w:r>
      <w:r w:rsidR="004A1A52" w:rsidRPr="00007281">
        <w:rPr>
          <w:i/>
          <w:iCs/>
          <w:color w:val="74758B"/>
          <w:lang w:val="pl-PL"/>
        </w:rPr>
        <w:t>”</w:t>
      </w:r>
    </w:p>
    <w:p w14:paraId="593263FA" w14:textId="77777777" w:rsidR="002717FA" w:rsidRDefault="002717FA" w:rsidP="009D20F6">
      <w:pPr>
        <w:pStyle w:val="Tekstpodstawowy"/>
        <w:tabs>
          <w:tab w:val="left" w:pos="9639"/>
        </w:tabs>
        <w:spacing w:line="333" w:lineRule="auto"/>
        <w:ind w:left="993" w:right="1191"/>
        <w:jc w:val="both"/>
        <w:rPr>
          <w:color w:val="74758B"/>
          <w:lang w:val="pl-PL"/>
        </w:rPr>
      </w:pPr>
    </w:p>
    <w:p w14:paraId="635F949E" w14:textId="38C24875" w:rsidR="00BB4DEB" w:rsidRPr="0085434E" w:rsidRDefault="0085434E" w:rsidP="009D20F6">
      <w:pPr>
        <w:pStyle w:val="Tekstpodstawowy"/>
        <w:tabs>
          <w:tab w:val="left" w:pos="9639"/>
        </w:tabs>
        <w:spacing w:line="333" w:lineRule="auto"/>
        <w:ind w:left="993" w:right="1191"/>
        <w:jc w:val="both"/>
        <w:rPr>
          <w:lang w:val="pl-PL"/>
        </w:rPr>
      </w:pPr>
      <w:r w:rsidRPr="0085434E">
        <w:rPr>
          <w:color w:val="74758B"/>
          <w:lang w:val="pl-PL"/>
        </w:rPr>
        <w:t xml:space="preserve">W 2025 roku Accor otworzył 303 hotele (blisko 51 000 pokoi), co oznacza wzrost sieci netto o 3,7% w ciągu ostatnich 12 miesięcy. Na koniec grudnia 2025 roku portfolio </w:t>
      </w:r>
      <w:r w:rsidR="00B638D2">
        <w:rPr>
          <w:color w:val="74758B"/>
          <w:lang w:val="pl-PL"/>
        </w:rPr>
        <w:t>g</w:t>
      </w:r>
      <w:r w:rsidRPr="0085434E">
        <w:rPr>
          <w:color w:val="74758B"/>
          <w:lang w:val="pl-PL"/>
        </w:rPr>
        <w:t xml:space="preserve">rupy obejmowało 5 836 hoteli (881 427 pokoi) oraz kolejne 1 527 obiektów (ponad 257 000 </w:t>
      </w:r>
      <w:r w:rsidRPr="0085434E">
        <w:rPr>
          <w:color w:val="74758B"/>
          <w:lang w:val="pl-PL"/>
        </w:rPr>
        <w:lastRenderedPageBreak/>
        <w:t>pokoi) w fazie przygotowań.</w:t>
      </w:r>
    </w:p>
    <w:p w14:paraId="108DF795" w14:textId="77777777" w:rsidR="007B20D3" w:rsidRPr="00007281" w:rsidRDefault="007B20D3" w:rsidP="009D20F6">
      <w:pPr>
        <w:pStyle w:val="Tekstpodstawowy"/>
        <w:tabs>
          <w:tab w:val="left" w:pos="9639"/>
        </w:tabs>
        <w:spacing w:line="227" w:lineRule="exact"/>
        <w:ind w:left="993"/>
        <w:jc w:val="both"/>
        <w:rPr>
          <w:color w:val="74758B"/>
          <w:spacing w:val="-2"/>
          <w:lang w:val="pl-PL"/>
        </w:rPr>
      </w:pPr>
    </w:p>
    <w:p w14:paraId="4018B8BC" w14:textId="18DB177A" w:rsidR="007B20D3" w:rsidRPr="00007281" w:rsidRDefault="00B16ADF" w:rsidP="009D20F6">
      <w:pPr>
        <w:pStyle w:val="Tekstpodstawowy"/>
        <w:tabs>
          <w:tab w:val="left" w:pos="9639"/>
        </w:tabs>
        <w:spacing w:line="227" w:lineRule="exact"/>
        <w:ind w:left="993"/>
        <w:jc w:val="both"/>
        <w:rPr>
          <w:lang w:val="pl-PL"/>
        </w:rPr>
      </w:pPr>
      <w:r w:rsidRPr="00007281">
        <w:rPr>
          <w:color w:val="74758B"/>
          <w:spacing w:val="-2"/>
          <w:lang w:val="pl-PL"/>
        </w:rPr>
        <w:t>Cały raport w języku angielskim dostępny</w:t>
      </w:r>
      <w:r w:rsidR="007B20D3" w:rsidRPr="00007281">
        <w:rPr>
          <w:color w:val="74758B"/>
          <w:spacing w:val="-2"/>
          <w:lang w:val="pl-PL"/>
        </w:rPr>
        <w:t xml:space="preserve"> </w:t>
      </w:r>
      <w:hyperlink r:id="rId7" w:history="1">
        <w:r w:rsidRPr="00007281">
          <w:rPr>
            <w:rStyle w:val="Hipercze"/>
            <w:spacing w:val="-2"/>
            <w:lang w:val="pl-PL"/>
          </w:rPr>
          <w:t>tutaj</w:t>
        </w:r>
      </w:hyperlink>
      <w:r w:rsidR="007B20D3" w:rsidRPr="00007281">
        <w:rPr>
          <w:color w:val="74758B"/>
          <w:spacing w:val="-2"/>
          <w:lang w:val="pl-PL"/>
        </w:rPr>
        <w:t xml:space="preserve">. </w:t>
      </w:r>
    </w:p>
    <w:p w14:paraId="69DBC5B3" w14:textId="5FA52885" w:rsidR="008005FC" w:rsidRPr="00007281" w:rsidRDefault="008005FC" w:rsidP="009D20F6">
      <w:pPr>
        <w:tabs>
          <w:tab w:val="left" w:pos="9639"/>
        </w:tabs>
        <w:spacing w:before="114" w:line="331" w:lineRule="auto"/>
        <w:ind w:left="993" w:right="1196"/>
        <w:jc w:val="both"/>
        <w:rPr>
          <w:iCs/>
          <w:sz w:val="19"/>
          <w:lang w:val="pl-PL"/>
        </w:rPr>
      </w:pPr>
    </w:p>
    <w:p w14:paraId="2896BF44" w14:textId="6621CC9F" w:rsidR="007B20D3" w:rsidRPr="00007281" w:rsidRDefault="007B20D3" w:rsidP="00B16ADF">
      <w:pPr>
        <w:tabs>
          <w:tab w:val="left" w:pos="9639"/>
        </w:tabs>
        <w:ind w:left="993" w:right="1"/>
        <w:jc w:val="both"/>
        <w:rPr>
          <w:b/>
          <w:sz w:val="15"/>
          <w:lang w:val="pl-PL"/>
        </w:rPr>
      </w:pPr>
      <w:r w:rsidRPr="00007281">
        <w:rPr>
          <w:b/>
          <w:color w:val="040033"/>
          <w:spacing w:val="-2"/>
          <w:sz w:val="15"/>
          <w:lang w:val="pl-PL"/>
        </w:rPr>
        <w:t>ACCOR</w:t>
      </w:r>
    </w:p>
    <w:p w14:paraId="47416B11" w14:textId="69FCDEF1" w:rsidR="007B20D3" w:rsidRPr="00007281" w:rsidRDefault="00712CE8" w:rsidP="00007281">
      <w:pPr>
        <w:spacing w:line="219" w:lineRule="exact"/>
        <w:ind w:left="993" w:right="1139"/>
        <w:jc w:val="both"/>
        <w:rPr>
          <w:sz w:val="2"/>
          <w:lang w:val="pl-PL"/>
        </w:rPr>
      </w:pPr>
      <w:hyperlink r:id="rId8">
        <w:r w:rsidRPr="00007281">
          <w:rPr>
            <w:color w:val="0000FF"/>
            <w:sz w:val="18"/>
            <w:u w:val="single" w:color="0000FF"/>
            <w:lang w:val="pl-PL"/>
          </w:rPr>
          <w:t>Accor</w:t>
        </w:r>
      </w:hyperlink>
      <w:r w:rsidRPr="00007281">
        <w:rPr>
          <w:color w:val="74758B"/>
          <w:sz w:val="18"/>
          <w:lang w:val="pl-PL"/>
        </w:rPr>
        <w:t xml:space="preserve"> </w:t>
      </w:r>
      <w:r w:rsidR="00007281" w:rsidRPr="00007281">
        <w:rPr>
          <w:color w:val="74758B"/>
          <w:sz w:val="18"/>
          <w:lang w:val="pl-PL"/>
        </w:rPr>
        <w:t xml:space="preserve">to wiodąca na świecie grupa hotelarska oferująca usługi w ponad 110 krajach w ponad 5 800 obiektach, 10 000 lokalach gastronomicznych, ośrodkach wellness i elastycznych miejscach pracy. Grupa posiada jeden z najbardziej zróżnicowanych ekosystemów hotelarskich w branży, obejmujący około 45 marek hotelowych, od luksusowych po ekonomiczne, a także Lifestyle wraz z Ennismore. ALL Accor – platforma rezerwacyjna i program lojalnościowy – daje swoim </w:t>
      </w:r>
      <w:r w:rsidR="00007281">
        <w:rPr>
          <w:color w:val="74758B"/>
          <w:sz w:val="18"/>
          <w:lang w:val="pl-PL"/>
        </w:rPr>
        <w:t>uczestnikom</w:t>
      </w:r>
      <w:r w:rsidR="00007281" w:rsidRPr="00007281">
        <w:rPr>
          <w:color w:val="74758B"/>
          <w:sz w:val="18"/>
          <w:lang w:val="pl-PL"/>
        </w:rPr>
        <w:t xml:space="preserve"> dostęp do unikalnych nagród, usług i doświadczeń. Accor jest zaangażowany w podejmowanie pozytywnych działań w zakresie etyki biznesowej, odpowiedzialnej turystyki, zrównoważonego rozwoju, działań na rzecz społeczności lokalnej oraz różnorodności i integracji. Założona w 1967 roku spółka Accor SA ma siedzibę we Francji i jest notowana na giełdzie Euronext w Paryżu (kod ISIN: FR0000120404) oraz na rynku pozagiełdowym (Ticker: ACCYY) w Stanach Zjednoczonych. Więcej informacji można znaleźć na stronie </w:t>
      </w:r>
      <w:hyperlink r:id="rId9" w:tgtFrame="_blank" w:history="1">
        <w:r w:rsidR="00007281" w:rsidRPr="00007281">
          <w:rPr>
            <w:rStyle w:val="Hipercze"/>
            <w:sz w:val="18"/>
            <w:lang w:val="pl-PL"/>
          </w:rPr>
          <w:t>www.group.accor.com</w:t>
        </w:r>
      </w:hyperlink>
      <w:r w:rsidR="00007281" w:rsidRPr="00007281">
        <w:rPr>
          <w:color w:val="74758B"/>
          <w:sz w:val="18"/>
          <w:lang w:val="pl-PL"/>
        </w:rPr>
        <w:t xml:space="preserve"> lub śledząc profile na X, Facebook, LinkedIn, Instagram i TikTok.</w:t>
      </w:r>
    </w:p>
    <w:p w14:paraId="33B550A1" w14:textId="77777777" w:rsidR="007B20D3" w:rsidRPr="00007281" w:rsidRDefault="007B20D3" w:rsidP="007B20D3">
      <w:pPr>
        <w:pStyle w:val="Tekstpodstawowy"/>
        <w:rPr>
          <w:sz w:val="20"/>
          <w:lang w:val="pl-PL"/>
        </w:rPr>
      </w:pPr>
    </w:p>
    <w:p w14:paraId="4DE30814" w14:textId="77777777" w:rsidR="007B20D3" w:rsidRPr="00007281" w:rsidRDefault="007B20D3" w:rsidP="007B20D3">
      <w:pPr>
        <w:pStyle w:val="Tekstpodstawowy"/>
        <w:spacing w:before="240"/>
        <w:rPr>
          <w:sz w:val="20"/>
          <w:lang w:val="pl-PL"/>
        </w:rPr>
      </w:pPr>
    </w:p>
    <w:tbl>
      <w:tblPr>
        <w:tblStyle w:val="TableNormal"/>
        <w:tblW w:w="0" w:type="auto"/>
        <w:tblInd w:w="1148" w:type="dxa"/>
        <w:tblLayout w:type="fixed"/>
        <w:tblLook w:val="01E0" w:firstRow="1" w:lastRow="1" w:firstColumn="1" w:lastColumn="1" w:noHBand="0" w:noVBand="0"/>
      </w:tblPr>
      <w:tblGrid>
        <w:gridCol w:w="4447"/>
        <w:gridCol w:w="2644"/>
      </w:tblGrid>
      <w:tr w:rsidR="007B20D3" w:rsidRPr="001B6A10" w14:paraId="4BF8A928" w14:textId="77777777" w:rsidTr="000826F2">
        <w:trPr>
          <w:trHeight w:val="361"/>
        </w:trPr>
        <w:tc>
          <w:tcPr>
            <w:tcW w:w="4447" w:type="dxa"/>
          </w:tcPr>
          <w:p w14:paraId="78D3C2E8" w14:textId="4BB785A4" w:rsidR="007B20D3" w:rsidRPr="00007281" w:rsidRDefault="00DA7C56" w:rsidP="000826F2">
            <w:pPr>
              <w:pStyle w:val="TableParagraph"/>
              <w:spacing w:before="0" w:line="287" w:lineRule="exact"/>
              <w:ind w:left="50"/>
              <w:jc w:val="left"/>
              <w:rPr>
                <w:rFonts w:ascii="Times New Roman"/>
                <w:b/>
                <w:i/>
                <w:color w:val="040033"/>
                <w:spacing w:val="-2"/>
                <w:sz w:val="26"/>
                <w:u w:val="single" w:color="040033"/>
                <w:lang w:val="pl-PL"/>
              </w:rPr>
            </w:pPr>
            <w:r>
              <w:rPr>
                <w:rFonts w:ascii="Times New Roman"/>
                <w:b/>
                <w:i/>
                <w:color w:val="040033"/>
                <w:sz w:val="26"/>
                <w:u w:val="single" w:color="040033"/>
                <w:lang w:val="pl-PL"/>
              </w:rPr>
              <w:t>Kontak</w:t>
            </w:r>
            <w:r w:rsidR="002C616C">
              <w:rPr>
                <w:rFonts w:ascii="Times New Roman"/>
                <w:b/>
                <w:i/>
                <w:color w:val="040033"/>
                <w:sz w:val="26"/>
                <w:u w:val="single" w:color="040033"/>
                <w:lang w:val="pl-PL"/>
              </w:rPr>
              <w:t>t</w:t>
            </w:r>
            <w:r>
              <w:rPr>
                <w:rFonts w:ascii="Times New Roman"/>
                <w:b/>
                <w:i/>
                <w:color w:val="040033"/>
                <w:sz w:val="26"/>
                <w:u w:val="single" w:color="040033"/>
                <w:lang w:val="pl-PL"/>
              </w:rPr>
              <w:t xml:space="preserve"> dla prasy</w:t>
            </w:r>
            <w:r w:rsidR="0016286F" w:rsidRPr="00007281">
              <w:rPr>
                <w:rFonts w:ascii="Times New Roman"/>
                <w:b/>
                <w:i/>
                <w:color w:val="040033"/>
                <w:spacing w:val="-2"/>
                <w:sz w:val="26"/>
                <w:u w:val="single" w:color="040033"/>
                <w:lang w:val="pl-PL"/>
              </w:rPr>
              <w:t>:</w:t>
            </w:r>
          </w:p>
          <w:p w14:paraId="06455ED5" w14:textId="77777777" w:rsidR="003849A7" w:rsidRPr="00007281" w:rsidRDefault="003849A7" w:rsidP="000826F2">
            <w:pPr>
              <w:pStyle w:val="TableParagraph"/>
              <w:spacing w:before="0" w:line="287" w:lineRule="exact"/>
              <w:ind w:left="50"/>
              <w:jc w:val="left"/>
              <w:rPr>
                <w:rFonts w:ascii="Times New Roman"/>
                <w:b/>
                <w:i/>
                <w:color w:val="040033"/>
                <w:spacing w:val="-2"/>
                <w:sz w:val="26"/>
                <w:u w:val="single" w:color="040033"/>
                <w:lang w:val="pl-PL"/>
              </w:rPr>
            </w:pPr>
          </w:p>
          <w:p w14:paraId="2C73990B" w14:textId="77777777" w:rsidR="0016286F" w:rsidRPr="00007281" w:rsidRDefault="0016286F" w:rsidP="0016286F">
            <w:pPr>
              <w:pStyle w:val="TableParagraph"/>
              <w:spacing w:before="74"/>
              <w:ind w:left="50"/>
              <w:jc w:val="left"/>
              <w:rPr>
                <w:b/>
                <w:color w:val="040033"/>
                <w:sz w:val="18"/>
                <w:lang w:val="pl-PL"/>
              </w:rPr>
            </w:pPr>
            <w:r w:rsidRPr="00007281">
              <w:rPr>
                <w:b/>
                <w:color w:val="040033"/>
                <w:sz w:val="18"/>
                <w:lang w:val="pl-PL"/>
              </w:rPr>
              <w:t>Agnieszka Kalinowska</w:t>
            </w:r>
          </w:p>
          <w:p w14:paraId="69C30B9E" w14:textId="77777777" w:rsidR="0016286F" w:rsidRPr="00007281" w:rsidRDefault="0016286F" w:rsidP="0016286F">
            <w:pPr>
              <w:pStyle w:val="TableParagraph"/>
              <w:spacing w:before="74"/>
              <w:ind w:left="50"/>
              <w:jc w:val="left"/>
              <w:rPr>
                <w:color w:val="040033"/>
                <w:sz w:val="18"/>
                <w:lang w:val="pl-PL"/>
              </w:rPr>
            </w:pPr>
            <w:r w:rsidRPr="00007281">
              <w:rPr>
                <w:color w:val="040033"/>
                <w:sz w:val="18"/>
                <w:lang w:val="pl-PL"/>
              </w:rPr>
              <w:t>Senior Manager Media Relations &amp; PR Poland &amp; Eastern Europe</w:t>
            </w:r>
          </w:p>
          <w:p w14:paraId="7AA19751" w14:textId="77777777" w:rsidR="0016286F" w:rsidRPr="00007281" w:rsidRDefault="0016286F" w:rsidP="0016286F">
            <w:pPr>
              <w:pStyle w:val="Textedesaisie"/>
              <w:spacing w:line="276" w:lineRule="auto"/>
              <w:rPr>
                <w:iCs/>
                <w:sz w:val="19"/>
                <w:lang w:val="pl-PL"/>
              </w:rPr>
            </w:pPr>
            <w:hyperlink r:id="rId10" w:history="1">
              <w:r w:rsidRPr="00007281">
                <w:rPr>
                  <w:rStyle w:val="Hipercze"/>
                  <w:iCs/>
                  <w:sz w:val="19"/>
                  <w:lang w:val="pl-PL"/>
                </w:rPr>
                <w:t>Agnieszka.KALINOWSKA@accor.com</w:t>
              </w:r>
            </w:hyperlink>
          </w:p>
          <w:p w14:paraId="19B9CE12" w14:textId="77777777" w:rsidR="003849A7" w:rsidRPr="00007281" w:rsidRDefault="003849A7" w:rsidP="000826F2">
            <w:pPr>
              <w:pStyle w:val="TableParagraph"/>
              <w:spacing w:before="0" w:line="287" w:lineRule="exact"/>
              <w:ind w:left="50"/>
              <w:jc w:val="left"/>
              <w:rPr>
                <w:rFonts w:ascii="Times New Roman"/>
                <w:b/>
                <w:i/>
                <w:sz w:val="26"/>
                <w:lang w:val="pl-PL"/>
              </w:rPr>
            </w:pPr>
          </w:p>
        </w:tc>
        <w:tc>
          <w:tcPr>
            <w:tcW w:w="2644" w:type="dxa"/>
          </w:tcPr>
          <w:p w14:paraId="0823441C" w14:textId="77777777" w:rsidR="007B20D3" w:rsidRPr="00007281" w:rsidRDefault="007B20D3" w:rsidP="000826F2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pl-PL"/>
              </w:rPr>
            </w:pPr>
          </w:p>
        </w:tc>
      </w:tr>
      <w:tr w:rsidR="007B20D3" w:rsidRPr="00007281" w14:paraId="62DC3551" w14:textId="77777777" w:rsidTr="000826F2">
        <w:trPr>
          <w:trHeight w:val="977"/>
        </w:trPr>
        <w:tc>
          <w:tcPr>
            <w:tcW w:w="4447" w:type="dxa"/>
          </w:tcPr>
          <w:p w14:paraId="1D7E4C35" w14:textId="77777777" w:rsidR="007B20D3" w:rsidRPr="001B6A10" w:rsidRDefault="007B20D3" w:rsidP="000826F2">
            <w:pPr>
              <w:pStyle w:val="TableParagraph"/>
              <w:spacing w:before="74"/>
              <w:ind w:left="50"/>
              <w:jc w:val="left"/>
              <w:rPr>
                <w:b/>
                <w:sz w:val="18"/>
                <w:lang w:val="en-GB"/>
              </w:rPr>
            </w:pPr>
            <w:r w:rsidRPr="001B6A10">
              <w:rPr>
                <w:b/>
                <w:color w:val="040033"/>
                <w:sz w:val="18"/>
                <w:lang w:val="en-GB"/>
              </w:rPr>
              <w:t>Charlotte</w:t>
            </w:r>
            <w:r w:rsidRPr="001B6A10">
              <w:rPr>
                <w:b/>
                <w:color w:val="040033"/>
                <w:spacing w:val="-4"/>
                <w:sz w:val="18"/>
                <w:lang w:val="en-GB"/>
              </w:rPr>
              <w:t xml:space="preserve"> </w:t>
            </w:r>
            <w:r w:rsidRPr="001B6A10">
              <w:rPr>
                <w:b/>
                <w:color w:val="040033"/>
                <w:spacing w:val="-2"/>
                <w:sz w:val="18"/>
                <w:lang w:val="en-GB"/>
              </w:rPr>
              <w:t>Thouvard</w:t>
            </w:r>
          </w:p>
          <w:p w14:paraId="113E5D95" w14:textId="77777777" w:rsidR="007B20D3" w:rsidRPr="001B6A10" w:rsidRDefault="007B20D3" w:rsidP="000826F2">
            <w:pPr>
              <w:pStyle w:val="TableParagraph"/>
              <w:spacing w:before="22"/>
              <w:ind w:left="50"/>
              <w:jc w:val="left"/>
              <w:rPr>
                <w:sz w:val="18"/>
                <w:lang w:val="en-GB"/>
              </w:rPr>
            </w:pPr>
            <w:r w:rsidRPr="001B6A10">
              <w:rPr>
                <w:color w:val="040033"/>
                <w:sz w:val="18"/>
                <w:lang w:val="en-GB"/>
              </w:rPr>
              <w:t>Senior</w:t>
            </w:r>
            <w:r w:rsidRPr="001B6A10">
              <w:rPr>
                <w:color w:val="040033"/>
                <w:spacing w:val="-11"/>
                <w:sz w:val="18"/>
                <w:lang w:val="en-GB"/>
              </w:rPr>
              <w:t xml:space="preserve"> </w:t>
            </w:r>
            <w:r w:rsidRPr="001B6A10">
              <w:rPr>
                <w:color w:val="040033"/>
                <w:sz w:val="18"/>
                <w:lang w:val="en-GB"/>
              </w:rPr>
              <w:t>Vice</w:t>
            </w:r>
            <w:r w:rsidRPr="001B6A10">
              <w:rPr>
                <w:color w:val="040033"/>
                <w:spacing w:val="-10"/>
                <w:sz w:val="18"/>
                <w:lang w:val="en-GB"/>
              </w:rPr>
              <w:t xml:space="preserve"> </w:t>
            </w:r>
            <w:r w:rsidRPr="001B6A10">
              <w:rPr>
                <w:color w:val="040033"/>
                <w:sz w:val="18"/>
                <w:lang w:val="en-GB"/>
              </w:rPr>
              <w:t>President</w:t>
            </w:r>
            <w:r w:rsidRPr="001B6A10">
              <w:rPr>
                <w:color w:val="040033"/>
                <w:spacing w:val="-10"/>
                <w:sz w:val="18"/>
                <w:lang w:val="en-GB"/>
              </w:rPr>
              <w:t xml:space="preserve"> </w:t>
            </w:r>
            <w:r w:rsidRPr="001B6A10">
              <w:rPr>
                <w:color w:val="040033"/>
                <w:sz w:val="18"/>
                <w:lang w:val="en-GB"/>
              </w:rPr>
              <w:t>Global</w:t>
            </w:r>
            <w:r w:rsidRPr="001B6A10">
              <w:rPr>
                <w:color w:val="040033"/>
                <w:spacing w:val="-11"/>
                <w:sz w:val="18"/>
                <w:lang w:val="en-GB"/>
              </w:rPr>
              <w:t xml:space="preserve"> </w:t>
            </w:r>
            <w:r w:rsidRPr="001B6A10">
              <w:rPr>
                <w:color w:val="040033"/>
                <w:sz w:val="18"/>
                <w:lang w:val="en-GB"/>
              </w:rPr>
              <w:t xml:space="preserve">Communications </w:t>
            </w:r>
            <w:hyperlink r:id="rId11">
              <w:r w:rsidRPr="001B6A10">
                <w:rPr>
                  <w:color w:val="040033"/>
                  <w:spacing w:val="-2"/>
                  <w:sz w:val="18"/>
                  <w:lang w:val="en-GB"/>
                </w:rPr>
                <w:t>charlotte.thouvard@accor.com</w:t>
              </w:r>
            </w:hyperlink>
          </w:p>
        </w:tc>
        <w:tc>
          <w:tcPr>
            <w:tcW w:w="2644" w:type="dxa"/>
          </w:tcPr>
          <w:p w14:paraId="2098C5D1" w14:textId="77777777" w:rsidR="007B20D3" w:rsidRPr="00007281" w:rsidRDefault="007B20D3" w:rsidP="000826F2">
            <w:pPr>
              <w:pStyle w:val="TableParagraph"/>
              <w:spacing w:before="74"/>
              <w:ind w:left="281"/>
              <w:jc w:val="left"/>
              <w:rPr>
                <w:b/>
                <w:sz w:val="18"/>
                <w:lang w:val="pl-PL"/>
              </w:rPr>
            </w:pPr>
            <w:r w:rsidRPr="00007281">
              <w:rPr>
                <w:b/>
                <w:color w:val="040033"/>
                <w:sz w:val="18"/>
                <w:lang w:val="pl-PL"/>
              </w:rPr>
              <w:t>Line</w:t>
            </w:r>
            <w:r w:rsidRPr="00007281">
              <w:rPr>
                <w:b/>
                <w:color w:val="040033"/>
                <w:spacing w:val="-1"/>
                <w:sz w:val="18"/>
                <w:lang w:val="pl-PL"/>
              </w:rPr>
              <w:t xml:space="preserve"> </w:t>
            </w:r>
            <w:proofErr w:type="spellStart"/>
            <w:r w:rsidRPr="00007281">
              <w:rPr>
                <w:b/>
                <w:color w:val="040033"/>
                <w:spacing w:val="-2"/>
                <w:sz w:val="18"/>
                <w:lang w:val="pl-PL"/>
              </w:rPr>
              <w:t>Crieloue</w:t>
            </w:r>
            <w:proofErr w:type="spellEnd"/>
          </w:p>
          <w:p w14:paraId="1FE9AE9B" w14:textId="77777777" w:rsidR="007B20D3" w:rsidRPr="00007281" w:rsidRDefault="007B20D3" w:rsidP="000826F2">
            <w:pPr>
              <w:pStyle w:val="TableParagraph"/>
              <w:spacing w:before="10" w:line="218" w:lineRule="exact"/>
              <w:ind w:left="281" w:right="47"/>
              <w:jc w:val="left"/>
              <w:rPr>
                <w:sz w:val="18"/>
                <w:lang w:val="pl-PL"/>
              </w:rPr>
            </w:pPr>
            <w:r w:rsidRPr="00007281">
              <w:rPr>
                <w:color w:val="040033"/>
                <w:sz w:val="18"/>
                <w:lang w:val="pl-PL"/>
              </w:rPr>
              <w:t xml:space="preserve">VP </w:t>
            </w:r>
            <w:proofErr w:type="spellStart"/>
            <w:r w:rsidRPr="00007281">
              <w:rPr>
                <w:color w:val="040033"/>
                <w:sz w:val="18"/>
                <w:lang w:val="pl-PL"/>
              </w:rPr>
              <w:t>Corporate</w:t>
            </w:r>
            <w:proofErr w:type="spellEnd"/>
            <w:r w:rsidRPr="00007281">
              <w:rPr>
                <w:color w:val="040033"/>
                <w:sz w:val="18"/>
                <w:lang w:val="pl-PL"/>
              </w:rPr>
              <w:t xml:space="preserve"> </w:t>
            </w:r>
            <w:proofErr w:type="spellStart"/>
            <w:r w:rsidRPr="00007281">
              <w:rPr>
                <w:color w:val="040033"/>
                <w:sz w:val="18"/>
                <w:lang w:val="pl-PL"/>
              </w:rPr>
              <w:t>Group</w:t>
            </w:r>
            <w:proofErr w:type="spellEnd"/>
            <w:r w:rsidRPr="00007281">
              <w:rPr>
                <w:color w:val="040033"/>
                <w:sz w:val="18"/>
                <w:lang w:val="pl-PL"/>
              </w:rPr>
              <w:t xml:space="preserve"> </w:t>
            </w:r>
            <w:proofErr w:type="spellStart"/>
            <w:r w:rsidRPr="00007281">
              <w:rPr>
                <w:color w:val="040033"/>
                <w:sz w:val="18"/>
                <w:lang w:val="pl-PL"/>
              </w:rPr>
              <w:t>External</w:t>
            </w:r>
            <w:proofErr w:type="spellEnd"/>
            <w:r w:rsidRPr="00007281">
              <w:rPr>
                <w:color w:val="040033"/>
                <w:spacing w:val="-16"/>
                <w:sz w:val="18"/>
                <w:lang w:val="pl-PL"/>
              </w:rPr>
              <w:t xml:space="preserve"> </w:t>
            </w:r>
            <w:r w:rsidRPr="00007281">
              <w:rPr>
                <w:color w:val="040033"/>
                <w:sz w:val="18"/>
                <w:lang w:val="pl-PL"/>
              </w:rPr>
              <w:t xml:space="preserve">Communications </w:t>
            </w:r>
            <w:hyperlink r:id="rId12">
              <w:r w:rsidRPr="00007281">
                <w:rPr>
                  <w:color w:val="040033"/>
                  <w:spacing w:val="-2"/>
                  <w:sz w:val="18"/>
                  <w:lang w:val="pl-PL"/>
                </w:rPr>
                <w:t>line.crieloue@accor.com</w:t>
              </w:r>
            </w:hyperlink>
          </w:p>
        </w:tc>
      </w:tr>
      <w:tr w:rsidR="007B20D3" w:rsidRPr="00007281" w14:paraId="2EDB45FA" w14:textId="77777777" w:rsidTr="000826F2">
        <w:trPr>
          <w:trHeight w:val="367"/>
        </w:trPr>
        <w:tc>
          <w:tcPr>
            <w:tcW w:w="4447" w:type="dxa"/>
          </w:tcPr>
          <w:p w14:paraId="34F6496E" w14:textId="77777777" w:rsidR="007B20D3" w:rsidRPr="00007281" w:rsidRDefault="007B20D3" w:rsidP="000826F2">
            <w:pPr>
              <w:pStyle w:val="TableParagraph"/>
              <w:spacing w:before="0" w:line="294" w:lineRule="exact"/>
              <w:ind w:left="50"/>
              <w:jc w:val="left"/>
              <w:rPr>
                <w:rFonts w:ascii="Times New Roman"/>
                <w:b/>
                <w:i/>
                <w:sz w:val="26"/>
                <w:lang w:val="pl-PL"/>
              </w:rPr>
            </w:pPr>
            <w:r w:rsidRPr="00007281">
              <w:rPr>
                <w:rFonts w:ascii="Times New Roman"/>
                <w:b/>
                <w:i/>
                <w:color w:val="040033"/>
                <w:sz w:val="26"/>
                <w:u w:val="single" w:color="040033"/>
                <w:lang w:val="pl-PL"/>
              </w:rPr>
              <w:t>Investor</w:t>
            </w:r>
            <w:r w:rsidRPr="00007281">
              <w:rPr>
                <w:rFonts w:ascii="Times New Roman"/>
                <w:b/>
                <w:i/>
                <w:color w:val="040033"/>
                <w:spacing w:val="-11"/>
                <w:sz w:val="26"/>
                <w:u w:val="single" w:color="040033"/>
                <w:lang w:val="pl-PL"/>
              </w:rPr>
              <w:t xml:space="preserve"> </w:t>
            </w:r>
            <w:r w:rsidRPr="00007281">
              <w:rPr>
                <w:rFonts w:ascii="Times New Roman"/>
                <w:b/>
                <w:i/>
                <w:color w:val="040033"/>
                <w:sz w:val="26"/>
                <w:u w:val="single" w:color="040033"/>
                <w:lang w:val="pl-PL"/>
              </w:rPr>
              <w:t>and</w:t>
            </w:r>
            <w:r w:rsidRPr="00007281">
              <w:rPr>
                <w:rFonts w:ascii="Times New Roman"/>
                <w:b/>
                <w:i/>
                <w:color w:val="040033"/>
                <w:spacing w:val="-11"/>
                <w:sz w:val="26"/>
                <w:u w:val="single" w:color="040033"/>
                <w:lang w:val="pl-PL"/>
              </w:rPr>
              <w:t xml:space="preserve"> </w:t>
            </w:r>
            <w:proofErr w:type="spellStart"/>
            <w:r w:rsidRPr="00007281">
              <w:rPr>
                <w:rFonts w:ascii="Times New Roman"/>
                <w:b/>
                <w:i/>
                <w:color w:val="040033"/>
                <w:sz w:val="26"/>
                <w:u w:val="single" w:color="040033"/>
                <w:lang w:val="pl-PL"/>
              </w:rPr>
              <w:t>Analyst</w:t>
            </w:r>
            <w:proofErr w:type="spellEnd"/>
            <w:r w:rsidRPr="00007281">
              <w:rPr>
                <w:rFonts w:ascii="Times New Roman"/>
                <w:b/>
                <w:i/>
                <w:color w:val="040033"/>
                <w:spacing w:val="-8"/>
                <w:sz w:val="26"/>
                <w:u w:val="single" w:color="040033"/>
                <w:lang w:val="pl-PL"/>
              </w:rPr>
              <w:t xml:space="preserve"> </w:t>
            </w:r>
            <w:r w:rsidRPr="00007281">
              <w:rPr>
                <w:rFonts w:ascii="Times New Roman"/>
                <w:b/>
                <w:i/>
                <w:color w:val="040033"/>
                <w:spacing w:val="-2"/>
                <w:sz w:val="26"/>
                <w:u w:val="single" w:color="040033"/>
                <w:lang w:val="pl-PL"/>
              </w:rPr>
              <w:t>Relations</w:t>
            </w:r>
          </w:p>
        </w:tc>
        <w:tc>
          <w:tcPr>
            <w:tcW w:w="2644" w:type="dxa"/>
          </w:tcPr>
          <w:p w14:paraId="676BD51A" w14:textId="77777777" w:rsidR="007B20D3" w:rsidRPr="00007281" w:rsidRDefault="007B20D3" w:rsidP="000826F2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pl-PL"/>
              </w:rPr>
            </w:pPr>
          </w:p>
        </w:tc>
      </w:tr>
      <w:tr w:rsidR="007B20D3" w:rsidRPr="00007281" w14:paraId="16DE33E7" w14:textId="77777777" w:rsidTr="000826F2">
        <w:trPr>
          <w:trHeight w:val="969"/>
        </w:trPr>
        <w:tc>
          <w:tcPr>
            <w:tcW w:w="4447" w:type="dxa"/>
          </w:tcPr>
          <w:p w14:paraId="2D184124" w14:textId="77777777" w:rsidR="007B20D3" w:rsidRPr="00007281" w:rsidRDefault="007B20D3" w:rsidP="000826F2">
            <w:pPr>
              <w:pStyle w:val="TableParagraph"/>
              <w:spacing w:before="73"/>
              <w:ind w:left="50"/>
              <w:jc w:val="left"/>
              <w:rPr>
                <w:b/>
                <w:sz w:val="18"/>
                <w:lang w:val="pl-PL"/>
              </w:rPr>
            </w:pPr>
            <w:r w:rsidRPr="00007281">
              <w:rPr>
                <w:b/>
                <w:color w:val="040033"/>
                <w:sz w:val="18"/>
                <w:lang w:val="pl-PL"/>
              </w:rPr>
              <w:t>Pierre-</w:t>
            </w:r>
            <w:proofErr w:type="spellStart"/>
            <w:r w:rsidRPr="00007281">
              <w:rPr>
                <w:b/>
                <w:color w:val="040033"/>
                <w:sz w:val="18"/>
                <w:lang w:val="pl-PL"/>
              </w:rPr>
              <w:t>Loup</w:t>
            </w:r>
            <w:proofErr w:type="spellEnd"/>
            <w:r w:rsidRPr="00007281">
              <w:rPr>
                <w:b/>
                <w:color w:val="040033"/>
                <w:spacing w:val="-4"/>
                <w:sz w:val="18"/>
                <w:lang w:val="pl-PL"/>
              </w:rPr>
              <w:t xml:space="preserve"> </w:t>
            </w:r>
            <w:r w:rsidRPr="00007281">
              <w:rPr>
                <w:b/>
                <w:color w:val="040033"/>
                <w:spacing w:val="-2"/>
                <w:sz w:val="18"/>
                <w:lang w:val="pl-PL"/>
              </w:rPr>
              <w:t>Etienne</w:t>
            </w:r>
          </w:p>
          <w:p w14:paraId="1687DA32" w14:textId="77777777" w:rsidR="007B20D3" w:rsidRPr="00007281" w:rsidRDefault="007B20D3" w:rsidP="000826F2">
            <w:pPr>
              <w:pStyle w:val="TableParagraph"/>
              <w:spacing w:before="3" w:line="218" w:lineRule="exact"/>
              <w:ind w:left="50" w:right="1560"/>
              <w:jc w:val="left"/>
              <w:rPr>
                <w:sz w:val="18"/>
                <w:lang w:val="pl-PL"/>
              </w:rPr>
            </w:pPr>
            <w:r w:rsidRPr="00007281">
              <w:rPr>
                <w:color w:val="040033"/>
                <w:sz w:val="18"/>
                <w:lang w:val="pl-PL"/>
              </w:rPr>
              <w:t xml:space="preserve">SVP Investor Relations and Financial Communications </w:t>
            </w:r>
            <w:hyperlink r:id="rId13">
              <w:r w:rsidRPr="00007281">
                <w:rPr>
                  <w:color w:val="040033"/>
                  <w:spacing w:val="-2"/>
                  <w:sz w:val="18"/>
                  <w:lang w:val="pl-PL"/>
                </w:rPr>
                <w:t>pierre-loup.etienne@accor.com</w:t>
              </w:r>
            </w:hyperlink>
          </w:p>
        </w:tc>
        <w:tc>
          <w:tcPr>
            <w:tcW w:w="2644" w:type="dxa"/>
          </w:tcPr>
          <w:p w14:paraId="74CA7B04" w14:textId="77777777" w:rsidR="007B20D3" w:rsidRPr="00007281" w:rsidRDefault="007B20D3" w:rsidP="000826F2">
            <w:pPr>
              <w:pStyle w:val="TableParagraph"/>
              <w:spacing w:before="0"/>
              <w:jc w:val="left"/>
              <w:rPr>
                <w:rFonts w:ascii="Times New Roman"/>
                <w:sz w:val="18"/>
                <w:lang w:val="pl-PL"/>
              </w:rPr>
            </w:pPr>
          </w:p>
        </w:tc>
      </w:tr>
    </w:tbl>
    <w:p w14:paraId="34E63EEF" w14:textId="77777777" w:rsidR="0016286F" w:rsidRPr="00007281" w:rsidRDefault="0016286F">
      <w:pPr>
        <w:rPr>
          <w:lang w:val="pl-PL"/>
        </w:rPr>
      </w:pPr>
    </w:p>
    <w:sectPr w:rsidR="0016286F" w:rsidRPr="00007281" w:rsidSect="00F40C42">
      <w:headerReference w:type="default" r:id="rId14"/>
      <w:footerReference w:type="default" r:id="rId15"/>
      <w:pgSz w:w="11910" w:h="16840"/>
      <w:pgMar w:top="1460" w:right="711" w:bottom="760" w:left="566" w:header="717" w:footer="5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C680" w14:textId="77777777" w:rsidR="004203B6" w:rsidRDefault="004203B6">
      <w:r>
        <w:separator/>
      </w:r>
    </w:p>
  </w:endnote>
  <w:endnote w:type="continuationSeparator" w:id="0">
    <w:p w14:paraId="462F8B20" w14:textId="77777777" w:rsidR="004203B6" w:rsidRDefault="0042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3F0C" w14:textId="77777777" w:rsidR="00B30EC3" w:rsidRDefault="0016286F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4192" behindDoc="1" locked="0" layoutInCell="1" allowOverlap="1" wp14:anchorId="34E63F0F" wp14:editId="34E63F10">
              <wp:simplePos x="0" y="0"/>
              <wp:positionH relativeFrom="page">
                <wp:posOffset>6278117</wp:posOffset>
              </wp:positionH>
              <wp:positionV relativeFrom="page">
                <wp:posOffset>10195928</wp:posOffset>
              </wp:positionV>
              <wp:extent cx="215900" cy="1720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63F11" w14:textId="77777777" w:rsidR="00B30EC3" w:rsidRDefault="0016286F">
                          <w:pPr>
                            <w:pStyle w:val="Tekstpodstawowy"/>
                            <w:spacing w:before="1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63F0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94.35pt;margin-top:802.85pt;width:17pt;height:13.55pt;z-index:-1665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" filled="f" stroked="f">
              <v:textbox inset="0,0,0,0">
                <w:txbxContent>
                  <w:p w14:paraId="34E63F11" w14:textId="77777777" w:rsidR="00B30EC3" w:rsidRDefault="0016286F">
                    <w:pPr>
                      <w:pStyle w:val="Tekstpodstawowy"/>
                      <w:spacing w:before="1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72BF" w14:textId="77777777" w:rsidR="004203B6" w:rsidRDefault="004203B6">
      <w:r>
        <w:separator/>
      </w:r>
    </w:p>
  </w:footnote>
  <w:footnote w:type="continuationSeparator" w:id="0">
    <w:p w14:paraId="5FA59403" w14:textId="77777777" w:rsidR="004203B6" w:rsidRDefault="0042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3F0B" w14:textId="77777777" w:rsidR="00B30EC3" w:rsidRDefault="0016286F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663680" behindDoc="1" locked="0" layoutInCell="1" allowOverlap="1" wp14:anchorId="34E63F0D" wp14:editId="0E179C13">
          <wp:simplePos x="0" y="0"/>
          <wp:positionH relativeFrom="margin">
            <wp:align>center</wp:align>
          </wp:positionH>
          <wp:positionV relativeFrom="page">
            <wp:posOffset>280035</wp:posOffset>
          </wp:positionV>
          <wp:extent cx="585166" cy="480743"/>
          <wp:effectExtent l="0" t="0" r="5715" b="0"/>
          <wp:wrapNone/>
          <wp:docPr id="10018587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166" cy="480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2D26"/>
    <w:multiLevelType w:val="hybridMultilevel"/>
    <w:tmpl w:val="933E4F80"/>
    <w:lvl w:ilvl="0" w:tplc="6926389C">
      <w:numFmt w:val="bullet"/>
      <w:lvlText w:val=""/>
      <w:lvlJc w:val="left"/>
      <w:pPr>
        <w:ind w:left="19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1" w:tplc="1092349A">
      <w:numFmt w:val="bullet"/>
      <w:lvlText w:val="o"/>
      <w:lvlJc w:val="left"/>
      <w:pPr>
        <w:ind w:left="22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2" w:tplc="64DCE2C6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3" w:tplc="50AA01AE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C6EE1132">
      <w:numFmt w:val="bullet"/>
      <w:lvlText w:val="•"/>
      <w:lvlJc w:val="left"/>
      <w:pPr>
        <w:ind w:left="5098" w:hanging="360"/>
      </w:pPr>
      <w:rPr>
        <w:rFonts w:hint="default"/>
        <w:lang w:val="en-US" w:eastAsia="en-US" w:bidi="ar-SA"/>
      </w:rPr>
    </w:lvl>
    <w:lvl w:ilvl="5" w:tplc="F140D006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6" w:tplc="1242DDCA">
      <w:numFmt w:val="bullet"/>
      <w:lvlText w:val="•"/>
      <w:lvlJc w:val="left"/>
      <w:pPr>
        <w:ind w:left="6990" w:hanging="360"/>
      </w:pPr>
      <w:rPr>
        <w:rFonts w:hint="default"/>
        <w:lang w:val="en-US" w:eastAsia="en-US" w:bidi="ar-SA"/>
      </w:rPr>
    </w:lvl>
    <w:lvl w:ilvl="7" w:tplc="2FB6ADC6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  <w:lvl w:ilvl="8" w:tplc="FF4EF962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186F76"/>
    <w:multiLevelType w:val="hybridMultilevel"/>
    <w:tmpl w:val="C1D2204C"/>
    <w:lvl w:ilvl="0" w:tplc="62442D90">
      <w:numFmt w:val="bullet"/>
      <w:lvlText w:val=""/>
      <w:lvlJc w:val="left"/>
      <w:pPr>
        <w:ind w:left="19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1" w:tplc="509E4954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2" w:tplc="740084AA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3" w:tplc="D7A20928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4" w:tplc="B4B8A896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5" w:tplc="358ED79C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6" w:tplc="FF064B48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7E5287BE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  <w:lvl w:ilvl="8" w:tplc="FEF46E8C">
      <w:numFmt w:val="bullet"/>
      <w:lvlText w:val="•"/>
      <w:lvlJc w:val="left"/>
      <w:pPr>
        <w:ind w:left="90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F803687"/>
    <w:multiLevelType w:val="hybridMultilevel"/>
    <w:tmpl w:val="3A22A33A"/>
    <w:lvl w:ilvl="0" w:tplc="4FB8A578">
      <w:numFmt w:val="bullet"/>
      <w:lvlText w:val=""/>
      <w:lvlJc w:val="left"/>
      <w:pPr>
        <w:ind w:left="191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4758B"/>
        <w:spacing w:val="0"/>
        <w:w w:val="99"/>
        <w:sz w:val="19"/>
        <w:szCs w:val="19"/>
        <w:lang w:val="en-US" w:eastAsia="en-US" w:bidi="ar-SA"/>
      </w:rPr>
    </w:lvl>
    <w:lvl w:ilvl="1" w:tplc="55D2C2FC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2" w:tplc="E9B2DCDA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3" w:tplc="4C9C4A78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4" w:tplc="4E08DA5E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5" w:tplc="FA2AAACA">
      <w:numFmt w:val="bullet"/>
      <w:lvlText w:val="•"/>
      <w:lvlJc w:val="left"/>
      <w:pPr>
        <w:ind w:left="6347" w:hanging="360"/>
      </w:pPr>
      <w:rPr>
        <w:rFonts w:hint="default"/>
        <w:lang w:val="en-US" w:eastAsia="en-US" w:bidi="ar-SA"/>
      </w:rPr>
    </w:lvl>
    <w:lvl w:ilvl="6" w:tplc="8AEAA33C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 w:tplc="B4FA6A64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  <w:lvl w:ilvl="8" w:tplc="D7EAB5D2">
      <w:numFmt w:val="bullet"/>
      <w:lvlText w:val="•"/>
      <w:lvlJc w:val="left"/>
      <w:pPr>
        <w:ind w:left="9003" w:hanging="360"/>
      </w:pPr>
      <w:rPr>
        <w:rFonts w:hint="default"/>
        <w:lang w:val="en-US" w:eastAsia="en-US" w:bidi="ar-SA"/>
      </w:rPr>
    </w:lvl>
  </w:abstractNum>
  <w:num w:numId="1" w16cid:durableId="684984717">
    <w:abstractNumId w:val="2"/>
  </w:num>
  <w:num w:numId="2" w16cid:durableId="1916013923">
    <w:abstractNumId w:val="1"/>
  </w:num>
  <w:num w:numId="3" w16cid:durableId="181413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C3"/>
    <w:rsid w:val="00007281"/>
    <w:rsid w:val="00084B8B"/>
    <w:rsid w:val="000C1C6D"/>
    <w:rsid w:val="00102A37"/>
    <w:rsid w:val="0016286F"/>
    <w:rsid w:val="00184879"/>
    <w:rsid w:val="001B5F22"/>
    <w:rsid w:val="001B6A10"/>
    <w:rsid w:val="002372E7"/>
    <w:rsid w:val="002717FA"/>
    <w:rsid w:val="0029371C"/>
    <w:rsid w:val="002B0FBD"/>
    <w:rsid w:val="002C616C"/>
    <w:rsid w:val="002D05B7"/>
    <w:rsid w:val="003049F5"/>
    <w:rsid w:val="00335CD6"/>
    <w:rsid w:val="00337F76"/>
    <w:rsid w:val="00346CBA"/>
    <w:rsid w:val="00383C3E"/>
    <w:rsid w:val="003849A7"/>
    <w:rsid w:val="004203B6"/>
    <w:rsid w:val="00452D04"/>
    <w:rsid w:val="004A15E8"/>
    <w:rsid w:val="004A1A52"/>
    <w:rsid w:val="00587579"/>
    <w:rsid w:val="005A4335"/>
    <w:rsid w:val="005B76D5"/>
    <w:rsid w:val="005F0109"/>
    <w:rsid w:val="00611E64"/>
    <w:rsid w:val="00631235"/>
    <w:rsid w:val="00651EDF"/>
    <w:rsid w:val="006B4120"/>
    <w:rsid w:val="006D202F"/>
    <w:rsid w:val="006D5C76"/>
    <w:rsid w:val="006E7EDE"/>
    <w:rsid w:val="006F2817"/>
    <w:rsid w:val="00712CE8"/>
    <w:rsid w:val="0074734E"/>
    <w:rsid w:val="00791404"/>
    <w:rsid w:val="007B20D3"/>
    <w:rsid w:val="007D3F1E"/>
    <w:rsid w:val="008005FC"/>
    <w:rsid w:val="00826521"/>
    <w:rsid w:val="0085434E"/>
    <w:rsid w:val="008A4E12"/>
    <w:rsid w:val="009007D3"/>
    <w:rsid w:val="0091390C"/>
    <w:rsid w:val="00920E4E"/>
    <w:rsid w:val="009362DA"/>
    <w:rsid w:val="00964331"/>
    <w:rsid w:val="00985F13"/>
    <w:rsid w:val="009C2A42"/>
    <w:rsid w:val="009D20F6"/>
    <w:rsid w:val="00B16ADF"/>
    <w:rsid w:val="00B176B3"/>
    <w:rsid w:val="00B30EC3"/>
    <w:rsid w:val="00B638D2"/>
    <w:rsid w:val="00B66415"/>
    <w:rsid w:val="00B709BA"/>
    <w:rsid w:val="00BB4DEB"/>
    <w:rsid w:val="00BF191E"/>
    <w:rsid w:val="00CC40DD"/>
    <w:rsid w:val="00D13EB3"/>
    <w:rsid w:val="00D42627"/>
    <w:rsid w:val="00D56DA0"/>
    <w:rsid w:val="00DA7C56"/>
    <w:rsid w:val="00DB1525"/>
    <w:rsid w:val="00DD0755"/>
    <w:rsid w:val="00DE672B"/>
    <w:rsid w:val="00E00B7B"/>
    <w:rsid w:val="00E01DDD"/>
    <w:rsid w:val="00E03FC9"/>
    <w:rsid w:val="00E502AE"/>
    <w:rsid w:val="00E7090D"/>
    <w:rsid w:val="00E8678A"/>
    <w:rsid w:val="00EA0D4A"/>
    <w:rsid w:val="00F40C42"/>
    <w:rsid w:val="00F5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63B69"/>
  <w15:docId w15:val="{FDD87256-5080-4ED7-82FC-3745B633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</w:rPr>
  </w:style>
  <w:style w:type="paragraph" w:styleId="Nagwek1">
    <w:name w:val="heading 1"/>
    <w:basedOn w:val="Normalny"/>
    <w:uiPriority w:val="9"/>
    <w:qFormat/>
    <w:pPr>
      <w:ind w:left="1191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91"/>
      <w:outlineLvl w:val="1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ind w:left="1" w:right="1"/>
      <w:jc w:val="center"/>
    </w:pPr>
    <w:rPr>
      <w:rFonts w:ascii="Times New Roman" w:eastAsia="Times New Roman" w:hAnsi="Times New Roman" w:cs="Times New Roman"/>
      <w:b/>
      <w:bCs/>
      <w:i/>
      <w:iCs/>
      <w:sz w:val="54"/>
      <w:szCs w:val="54"/>
    </w:rPr>
  </w:style>
  <w:style w:type="paragraph" w:styleId="Akapitzlist">
    <w:name w:val="List Paragraph"/>
    <w:basedOn w:val="Normalny"/>
    <w:uiPriority w:val="1"/>
    <w:qFormat/>
    <w:pPr>
      <w:ind w:left="1911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6"/>
      <w:jc w:val="center"/>
    </w:pPr>
  </w:style>
  <w:style w:type="character" w:styleId="Hipercze">
    <w:name w:val="Hyperlink"/>
    <w:basedOn w:val="Domylnaczcionkaakapitu"/>
    <w:uiPriority w:val="99"/>
    <w:unhideWhenUsed/>
    <w:rsid w:val="007B20D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0D3"/>
    <w:rPr>
      <w:color w:val="605E5C"/>
      <w:shd w:val="clear" w:color="auto" w:fill="E1DFDD"/>
    </w:rPr>
  </w:style>
  <w:style w:type="paragraph" w:customStyle="1" w:styleId="Textedesaisie">
    <w:name w:val="Texte de saisie"/>
    <w:basedOn w:val="Normalny"/>
    <w:qFormat/>
    <w:rsid w:val="0016286F"/>
    <w:pPr>
      <w:widowControl/>
      <w:autoSpaceDE/>
      <w:autoSpaceDN/>
      <w:spacing w:line="220" w:lineRule="atLeast"/>
      <w:jc w:val="both"/>
    </w:pPr>
    <w:rPr>
      <w:rFonts w:cs="Times New Roman"/>
      <w:color w:val="74758C"/>
      <w:sz w:val="18"/>
      <w:szCs w:val="19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6E7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EDE"/>
    <w:rPr>
      <w:rFonts w:ascii="Verdana" w:eastAsia="Verdana" w:hAnsi="Verdana" w:cs="Verdana"/>
    </w:rPr>
  </w:style>
  <w:style w:type="paragraph" w:styleId="Stopka">
    <w:name w:val="footer"/>
    <w:basedOn w:val="Normalny"/>
    <w:link w:val="StopkaZnak"/>
    <w:uiPriority w:val="99"/>
    <w:unhideWhenUsed/>
    <w:rsid w:val="006E7E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EDE"/>
    <w:rPr>
      <w:rFonts w:ascii="Verdana" w:eastAsia="Verdana" w:hAnsi="Verdana" w:cs="Verdana"/>
    </w:rPr>
  </w:style>
  <w:style w:type="paragraph" w:styleId="NormalnyWeb">
    <w:name w:val="Normal (Web)"/>
    <w:basedOn w:val="Normalny"/>
    <w:uiPriority w:val="99"/>
    <w:semiHidden/>
    <w:unhideWhenUsed/>
    <w:rsid w:val="00E03FC9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D05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up.accor.com/fr-FR" TargetMode="External"/><Relationship Id="rId13" Type="http://schemas.openxmlformats.org/officeDocument/2006/relationships/hyperlink" Target="mailto:pierre-loup.etienne@acco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ss.accor.com/full-year-2025-results-solid-results-above-2025-guidance/?lang=eng" TargetMode="External"/><Relationship Id="rId12" Type="http://schemas.openxmlformats.org/officeDocument/2006/relationships/hyperlink" Target="mailto:line.crieloue@accor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arlotte.thouvard@acco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gnieszka.KALINOWSKA@acco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oup.accor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631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Pierre-Loup</dc:creator>
  <cp:lastModifiedBy>Wiktoria Wiza</cp:lastModifiedBy>
  <cp:revision>2</cp:revision>
  <dcterms:created xsi:type="dcterms:W3CDTF">2026-02-20T11:03:00Z</dcterms:created>
  <dcterms:modified xsi:type="dcterms:W3CDTF">2026-02-20T11:03:00Z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36bd75c2-7aeb-4010-800a-c3301017623e</vt:lpwstr>
  </property>
</Properties>
</file>