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I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19.02.2026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left"/>
        <w:rPr>
          <w:rFonts w:ascii="Raleway" w:cs="Raleway" w:eastAsia="Raleway" w:hAnsi="Raleway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Value Media realizuje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kampanię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nowej platformy "Ubezpiecz z Orange"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Orange, we współpracy z globalnym liderem rozwiązań InsurTech – firmą bolttech, wprowadza na polski rynek nową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platformę usługową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„Ubezpiecz z Orange”.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Za realizację działań mediowych launchujących nowy produkt odpowiadają spółki Group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One: Value Media za strategię, planowanie i zakup mediów digital, a agencja Salestube za zakup kampanii programmatycznej, performance, działania paid social oraz SEM. Zespół Orange realizuje także kampanie POS oraz PR. Kreacje przygotowała agencja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GPD.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“Ubezpiecz z Orange” to nowa platforma umożliwiająca zakup ubezpieczeń online od największych towarzystw ubezpieczeniowych.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Na start dostępne są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oferty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ubezpieczeń komunikacyjnych, nieruchomości oraz ubezpieczenia turystyczne. Jej ideą jest łączenie atrakcyjnych warunków cenowych z jakością ochrony oraz sprawnym procesem likwidacji szkód. Kluczową przewagą rozwiązania jest szybki, intuicyjny i w pełni zdalny proces wyboru oraz zakupu polisy. Oprócz opcji online możliwa jest także realizacja usługi za pośrednictwem Call Center.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nie tylko komunikuje wejście Orange w nową kategorię produktową, ale również płynnie łączy budowanie wizerunku zaufanego partnera z prezentacją konkretnych ofert ubezpieczeniowych.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Strategia mediowa zakłada precyzyjne targetowanie oraz obecność w kontekstach zakupowych. Kampania jest realizowana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m.in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na marketplace’ach takich jak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Allegro, OLX czy Otodom,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gdzie komunikacja dociera do użytkowników w momencie podejmowania decyzji o zakupie samochodu czy nieruchomości. Value Media odpowiada za przygotowanie strategii mediowej, planowanie oraz zakup mediów, natomiast Salestube realizuje kampanię programmatic i performance oraz działania paid social i SEM. Kampania launchująca realizowana jest przez spółki Group One w modelu House of Communication. Kreacje do kampanii przygotowała agencja GPD. Kampanię u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zupełniają ją własne działania Orange, takie jak materiały POS oraz komunikacja PR.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Kampania będzie prowadzona przez cały 2026 rok. Kolejne flighty będą realizowane wraz z rozwojem platformy o nowe kategorie ubezpieczeń.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Value Media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Największa niezależna agencja mediowa w Polsce będąca częścią grupy marketingowo-technologicznej Group One. Zdobywca tytułu “Dom Mediowy Roku” 2018 i 2022 wg magazynu Media i Marketing Polska i wyróżnienia “Bogate Portfolio” 2025 oraz “Sukces Roku 2022” i “Wzrost Roku 2024” wg magazynu PRESS. Od 2021 roku obejmuje pozycję dominującą w światowym rankingu RECMA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.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 ramach podejścia House of Communication łączy kompetencje ponad 840 ekspertów do budowania silnych marek. Oferując rozwiązania end-to-end bierze odpowiedzialność za wynik biznesowy klientów w obszarach takich jak: strategia, komunikacja, kreacja, media, e-commerce oraz badania i analityka.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 z oddziałami w Warszawie, Nowym Jorku, Auckland i Berlinie. Łączy kompetencje w obszarze e-commerce, technologii, danych i mediów, aby budować najlepsze doświadczenie użytkowników w świecie zakupów na ponad 35 światowych rynkach. Partner technologiczny Big Tech, m.in. Google Marketing Platform, Google Cloud, Salesforce, Microsoft, Meta, TikTok. Jedna z pierwszych firm na świecie z pełną certyfikacją Google Marketing Platform i największy reseller tej technologii w regionie CEE obsługujący ponad 250 klientów. Agencja Digital 2021 oraz 2024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 i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lineRule="auto"/>
        <w:jc w:val="left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| Senior PR Specialist Group One</w:t>
        <w:br w:type="textWrapping"/>
        <w:t xml:space="preserve">anna.lada-grodzicka@groupone.com.pl | +48 452 484 127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81188" cy="3009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930" l="0" r="0" t="42263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