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DD079" w14:textId="5931F601" w:rsidR="005F6BFB" w:rsidRDefault="00E05F40" w:rsidP="003E56B1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Rynek magazynowy z wysokim popytem – </w:t>
      </w:r>
      <w:proofErr w:type="spellStart"/>
      <w:r>
        <w:rPr>
          <w:b/>
          <w:bCs/>
          <w:sz w:val="20"/>
          <w:szCs w:val="20"/>
        </w:rPr>
        <w:t>Cushman</w:t>
      </w:r>
      <w:proofErr w:type="spellEnd"/>
      <w:r>
        <w:rPr>
          <w:b/>
          <w:bCs/>
          <w:sz w:val="20"/>
          <w:szCs w:val="20"/>
        </w:rPr>
        <w:t xml:space="preserve"> &amp; Wakefield podsumowuje 2025 rok</w:t>
      </w:r>
    </w:p>
    <w:p w14:paraId="282A1D16" w14:textId="77777777" w:rsidR="00012380" w:rsidRDefault="00012380" w:rsidP="003E56B1">
      <w:pPr>
        <w:spacing w:line="240" w:lineRule="auto"/>
        <w:jc w:val="center"/>
        <w:rPr>
          <w:rStyle w:val="Strong"/>
          <w:sz w:val="20"/>
          <w:szCs w:val="20"/>
        </w:rPr>
      </w:pPr>
    </w:p>
    <w:p w14:paraId="158881C9" w14:textId="168CBCE0" w:rsidR="000E5D22" w:rsidRDefault="00B60C5B" w:rsidP="00B60C5B">
      <w:pPr>
        <w:spacing w:line="240" w:lineRule="auto"/>
        <w:jc w:val="both"/>
        <w:rPr>
          <w:b/>
          <w:bCs/>
          <w:sz w:val="20"/>
          <w:szCs w:val="20"/>
        </w:rPr>
      </w:pPr>
      <w:r w:rsidRPr="00B60C5B">
        <w:rPr>
          <w:b/>
          <w:bCs/>
          <w:sz w:val="20"/>
          <w:szCs w:val="20"/>
        </w:rPr>
        <w:t xml:space="preserve">Międzynarodowa firma doradcza </w:t>
      </w:r>
      <w:proofErr w:type="spellStart"/>
      <w:r w:rsidRPr="00B60C5B">
        <w:rPr>
          <w:b/>
          <w:bCs/>
          <w:sz w:val="20"/>
          <w:szCs w:val="20"/>
        </w:rPr>
        <w:t>Cushman</w:t>
      </w:r>
      <w:proofErr w:type="spellEnd"/>
      <w:r w:rsidRPr="00B60C5B">
        <w:rPr>
          <w:b/>
          <w:bCs/>
          <w:sz w:val="20"/>
          <w:szCs w:val="20"/>
        </w:rPr>
        <w:t xml:space="preserve"> &amp; Wakefield podsumowała sytuację na rynku powierzchni </w:t>
      </w:r>
      <w:proofErr w:type="spellStart"/>
      <w:r w:rsidRPr="00B60C5B">
        <w:rPr>
          <w:b/>
          <w:bCs/>
          <w:sz w:val="20"/>
          <w:szCs w:val="20"/>
        </w:rPr>
        <w:t>magazynowo-przemysłowych</w:t>
      </w:r>
      <w:proofErr w:type="spellEnd"/>
      <w:r w:rsidRPr="00B60C5B">
        <w:rPr>
          <w:b/>
          <w:bCs/>
          <w:sz w:val="20"/>
          <w:szCs w:val="20"/>
        </w:rPr>
        <w:t xml:space="preserve"> w Polsce </w:t>
      </w:r>
      <w:r w:rsidR="00E05F40">
        <w:rPr>
          <w:b/>
          <w:bCs/>
          <w:sz w:val="20"/>
          <w:szCs w:val="20"/>
        </w:rPr>
        <w:t>w</w:t>
      </w:r>
      <w:r>
        <w:rPr>
          <w:b/>
          <w:bCs/>
          <w:sz w:val="20"/>
          <w:szCs w:val="20"/>
        </w:rPr>
        <w:t xml:space="preserve"> </w:t>
      </w:r>
      <w:r w:rsidRPr="00B60C5B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5</w:t>
      </w:r>
      <w:r w:rsidRPr="00B60C5B">
        <w:rPr>
          <w:b/>
          <w:bCs/>
          <w:sz w:val="20"/>
          <w:szCs w:val="20"/>
        </w:rPr>
        <w:t xml:space="preserve"> roku. </w:t>
      </w:r>
      <w:r w:rsidR="00E05F40">
        <w:rPr>
          <w:b/>
          <w:bCs/>
          <w:sz w:val="20"/>
          <w:szCs w:val="20"/>
        </w:rPr>
        <w:t>Jak pokazują dane, a</w:t>
      </w:r>
      <w:r w:rsidR="004218A2">
        <w:rPr>
          <w:b/>
          <w:bCs/>
          <w:sz w:val="20"/>
          <w:szCs w:val="20"/>
        </w:rPr>
        <w:t>ktywnoś</w:t>
      </w:r>
      <w:r w:rsidR="00E05F40">
        <w:rPr>
          <w:b/>
          <w:bCs/>
          <w:sz w:val="20"/>
          <w:szCs w:val="20"/>
        </w:rPr>
        <w:t xml:space="preserve">ć </w:t>
      </w:r>
      <w:r w:rsidR="004218A2">
        <w:rPr>
          <w:b/>
          <w:bCs/>
          <w:sz w:val="20"/>
          <w:szCs w:val="20"/>
        </w:rPr>
        <w:t>najemców w</w:t>
      </w:r>
      <w:r w:rsidR="00E05F40">
        <w:rPr>
          <w:b/>
          <w:bCs/>
          <w:sz w:val="20"/>
          <w:szCs w:val="20"/>
        </w:rPr>
        <w:t xml:space="preserve">zrosła w ubiegłym roku o 14% r/r. Jednocześnie aktywność deweloperów </w:t>
      </w:r>
      <w:r w:rsidR="009D56B4">
        <w:rPr>
          <w:b/>
          <w:bCs/>
          <w:sz w:val="20"/>
          <w:szCs w:val="20"/>
        </w:rPr>
        <w:t xml:space="preserve">mimo nieznacznych wzrostów względem początku roku, </w:t>
      </w:r>
      <w:r w:rsidR="00787564">
        <w:rPr>
          <w:b/>
          <w:bCs/>
          <w:sz w:val="20"/>
          <w:szCs w:val="20"/>
        </w:rPr>
        <w:t>pozostaje</w:t>
      </w:r>
      <w:r w:rsidR="009D56B4">
        <w:rPr>
          <w:b/>
          <w:bCs/>
          <w:sz w:val="20"/>
          <w:szCs w:val="20"/>
        </w:rPr>
        <w:t xml:space="preserve"> na poziom</w:t>
      </w:r>
      <w:r w:rsidR="00F97B34">
        <w:rPr>
          <w:b/>
          <w:bCs/>
          <w:sz w:val="20"/>
          <w:szCs w:val="20"/>
        </w:rPr>
        <w:t xml:space="preserve">ie </w:t>
      </w:r>
      <w:r w:rsidR="00E0414E">
        <w:rPr>
          <w:b/>
          <w:bCs/>
          <w:sz w:val="20"/>
          <w:szCs w:val="20"/>
        </w:rPr>
        <w:t>zauważalnie niższym względem</w:t>
      </w:r>
      <w:r w:rsidR="00E0414E" w:rsidRPr="00E0414E">
        <w:rPr>
          <w:b/>
          <w:bCs/>
          <w:sz w:val="20"/>
          <w:szCs w:val="20"/>
        </w:rPr>
        <w:t xml:space="preserve"> </w:t>
      </w:r>
      <w:r w:rsidR="00E0414E">
        <w:rPr>
          <w:b/>
          <w:bCs/>
          <w:sz w:val="20"/>
          <w:szCs w:val="20"/>
        </w:rPr>
        <w:t xml:space="preserve">okresu aktywnej rozbudowy rynku </w:t>
      </w:r>
      <w:r w:rsidR="00F97B34">
        <w:rPr>
          <w:b/>
          <w:bCs/>
          <w:sz w:val="20"/>
          <w:szCs w:val="20"/>
        </w:rPr>
        <w:t xml:space="preserve">– </w:t>
      </w:r>
      <w:r w:rsidR="00E0414E">
        <w:rPr>
          <w:b/>
          <w:bCs/>
          <w:sz w:val="20"/>
          <w:szCs w:val="20"/>
        </w:rPr>
        <w:t>wynosi około 60% średniej z lat 2021-2023</w:t>
      </w:r>
      <w:r w:rsidR="00E05F40">
        <w:rPr>
          <w:b/>
          <w:bCs/>
          <w:sz w:val="20"/>
          <w:szCs w:val="20"/>
        </w:rPr>
        <w:t>.</w:t>
      </w:r>
      <w:r w:rsidR="00E0414E">
        <w:rPr>
          <w:b/>
          <w:bCs/>
          <w:sz w:val="20"/>
          <w:szCs w:val="20"/>
        </w:rPr>
        <w:t xml:space="preserve"> </w:t>
      </w:r>
      <w:r w:rsidR="00630A67">
        <w:rPr>
          <w:b/>
          <w:bCs/>
          <w:sz w:val="20"/>
          <w:szCs w:val="20"/>
        </w:rPr>
        <w:t>Ponadto</w:t>
      </w:r>
      <w:r w:rsidR="000E5D22">
        <w:rPr>
          <w:b/>
          <w:bCs/>
          <w:sz w:val="20"/>
          <w:szCs w:val="20"/>
        </w:rPr>
        <w:t xml:space="preserve"> skala inwestycji spekulacyjnych również wraca do niższych poziomów sprzed okresu aktywnej rozbudowy, udział niewynajętej powierzchni dla obiektów w budowie wynosi obecnie </w:t>
      </w:r>
      <w:r w:rsidR="00430F94">
        <w:rPr>
          <w:b/>
          <w:bCs/>
          <w:sz w:val="20"/>
          <w:szCs w:val="20"/>
        </w:rPr>
        <w:t>relatywnie niskie</w:t>
      </w:r>
      <w:r w:rsidR="000E5D22">
        <w:rPr>
          <w:b/>
          <w:bCs/>
          <w:sz w:val="20"/>
          <w:szCs w:val="20"/>
        </w:rPr>
        <w:t xml:space="preserve"> 39%.</w:t>
      </w:r>
    </w:p>
    <w:p w14:paraId="6BCBC96A" w14:textId="14FC6F24" w:rsidR="00071E14" w:rsidRDefault="00071E14" w:rsidP="00071E14">
      <w:pPr>
        <w:spacing w:line="240" w:lineRule="auto"/>
        <w:jc w:val="both"/>
        <w:rPr>
          <w:b/>
          <w:bCs/>
          <w:sz w:val="20"/>
          <w:szCs w:val="20"/>
        </w:rPr>
      </w:pPr>
      <w:r w:rsidRPr="00071E14">
        <w:rPr>
          <w:b/>
          <w:bCs/>
          <w:sz w:val="20"/>
          <w:szCs w:val="20"/>
        </w:rPr>
        <w:t xml:space="preserve">POPYT: </w:t>
      </w:r>
      <w:r w:rsidR="002A23B6">
        <w:rPr>
          <w:b/>
          <w:bCs/>
          <w:sz w:val="20"/>
          <w:szCs w:val="20"/>
        </w:rPr>
        <w:t>aktywność najemców na plusie</w:t>
      </w:r>
    </w:p>
    <w:p w14:paraId="561738A2" w14:textId="625E37AC" w:rsidR="00012380" w:rsidRPr="00012380" w:rsidRDefault="00012380" w:rsidP="00012380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12380">
        <w:rPr>
          <w:i/>
          <w:iCs/>
          <w:sz w:val="20"/>
          <w:szCs w:val="20"/>
        </w:rPr>
        <w:t>W 2025 roku popyt na nowoczesne powierzchnie przemysłowe osiągnął poziom ponad 6,63 mln mkw., co oznacza wzrost o 14% r/r oraz 9% powyżej średniej dla lat 2020-2024, kiedy aktywność najemców oscylowała wokół 6,1</w:t>
      </w:r>
      <w:r w:rsidR="00787564">
        <w:rPr>
          <w:i/>
          <w:iCs/>
          <w:sz w:val="20"/>
          <w:szCs w:val="20"/>
        </w:rPr>
        <w:t xml:space="preserve"> mln</w:t>
      </w:r>
      <w:r w:rsidRPr="00012380">
        <w:rPr>
          <w:i/>
          <w:iCs/>
          <w:sz w:val="20"/>
          <w:szCs w:val="20"/>
        </w:rPr>
        <w:t xml:space="preserve"> mkw. wynajmowanej powierzchni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komentuje </w:t>
      </w:r>
      <w:r w:rsidRPr="00717C28">
        <w:rPr>
          <w:b/>
          <w:bCs/>
          <w:sz w:val="20"/>
          <w:szCs w:val="20"/>
        </w:rPr>
        <w:t xml:space="preserve">Szczepan Gowin, </w:t>
      </w:r>
      <w:proofErr w:type="spellStart"/>
      <w:r w:rsidRPr="00717C28">
        <w:rPr>
          <w:b/>
          <w:bCs/>
          <w:sz w:val="20"/>
          <w:szCs w:val="20"/>
        </w:rPr>
        <w:t>Head</w:t>
      </w:r>
      <w:proofErr w:type="spellEnd"/>
      <w:r w:rsidRPr="00717C28">
        <w:rPr>
          <w:b/>
          <w:bCs/>
          <w:sz w:val="20"/>
          <w:szCs w:val="20"/>
        </w:rPr>
        <w:t xml:space="preserve"> of </w:t>
      </w:r>
      <w:proofErr w:type="spellStart"/>
      <w:r w:rsidRPr="00717C28">
        <w:rPr>
          <w:b/>
          <w:bCs/>
          <w:sz w:val="20"/>
          <w:szCs w:val="20"/>
        </w:rPr>
        <w:t>Industrial</w:t>
      </w:r>
      <w:proofErr w:type="spellEnd"/>
      <w:r w:rsidRPr="00717C28">
        <w:rPr>
          <w:b/>
          <w:bCs/>
          <w:sz w:val="20"/>
          <w:szCs w:val="20"/>
        </w:rPr>
        <w:t xml:space="preserve"> &amp; Logistics, </w:t>
      </w:r>
      <w:proofErr w:type="spellStart"/>
      <w:r w:rsidRPr="00717C28">
        <w:rPr>
          <w:b/>
          <w:bCs/>
          <w:sz w:val="20"/>
          <w:szCs w:val="20"/>
        </w:rPr>
        <w:t>Cushman</w:t>
      </w:r>
      <w:proofErr w:type="spellEnd"/>
      <w:r w:rsidRPr="00717C28">
        <w:rPr>
          <w:b/>
          <w:bCs/>
          <w:sz w:val="20"/>
          <w:szCs w:val="20"/>
        </w:rPr>
        <w:t xml:space="preserve"> &amp; Wakefield.</w:t>
      </w:r>
      <w:r w:rsidRPr="00B12037">
        <w:rPr>
          <w:b/>
          <w:bCs/>
          <w:sz w:val="20"/>
          <w:szCs w:val="20"/>
        </w:rPr>
        <w:t xml:space="preserve"> </w:t>
      </w:r>
    </w:p>
    <w:p w14:paraId="53E49144" w14:textId="10ABF6F1" w:rsidR="00012380" w:rsidRPr="00012380" w:rsidRDefault="00012380" w:rsidP="00012380">
      <w:pPr>
        <w:spacing w:line="240" w:lineRule="auto"/>
        <w:jc w:val="both"/>
        <w:rPr>
          <w:sz w:val="20"/>
          <w:szCs w:val="20"/>
        </w:rPr>
      </w:pPr>
      <w:r w:rsidRPr="00012380">
        <w:rPr>
          <w:sz w:val="20"/>
          <w:szCs w:val="20"/>
        </w:rPr>
        <w:t xml:space="preserve">Struktura popytu </w:t>
      </w:r>
      <w:r w:rsidRPr="002A23B6">
        <w:rPr>
          <w:sz w:val="20"/>
          <w:szCs w:val="20"/>
        </w:rPr>
        <w:t>została w ubiegłym roku</w:t>
      </w:r>
      <w:r w:rsidRPr="00012380">
        <w:rPr>
          <w:sz w:val="20"/>
          <w:szCs w:val="20"/>
        </w:rPr>
        <w:t xml:space="preserve"> zdominowana przez renegocjacje, które odpowiada</w:t>
      </w:r>
      <w:r w:rsidRPr="002A23B6">
        <w:rPr>
          <w:sz w:val="20"/>
          <w:szCs w:val="20"/>
        </w:rPr>
        <w:t>ły</w:t>
      </w:r>
      <w:r w:rsidRPr="00012380">
        <w:rPr>
          <w:sz w:val="20"/>
          <w:szCs w:val="20"/>
        </w:rPr>
        <w:t xml:space="preserve"> za 52% </w:t>
      </w:r>
      <w:r w:rsidR="000E5D22">
        <w:rPr>
          <w:sz w:val="20"/>
          <w:szCs w:val="20"/>
        </w:rPr>
        <w:t xml:space="preserve">średniorocznego </w:t>
      </w:r>
      <w:r w:rsidRPr="00012380">
        <w:rPr>
          <w:sz w:val="20"/>
          <w:szCs w:val="20"/>
        </w:rPr>
        <w:t xml:space="preserve">wolumenu transakcji najmu. Udział umów-przedłużeń dominował w każdym kwartale roku </w:t>
      </w:r>
      <w:r w:rsidR="002A29BF">
        <w:rPr>
          <w:sz w:val="20"/>
          <w:szCs w:val="20"/>
        </w:rPr>
        <w:t>–</w:t>
      </w:r>
      <w:r w:rsidRPr="002A23B6">
        <w:rPr>
          <w:sz w:val="20"/>
          <w:szCs w:val="20"/>
        </w:rPr>
        <w:t xml:space="preserve"> </w:t>
      </w:r>
      <w:r w:rsidRPr="00012380">
        <w:rPr>
          <w:sz w:val="20"/>
          <w:szCs w:val="20"/>
        </w:rPr>
        <w:t xml:space="preserve">57% w </w:t>
      </w:r>
      <w:r w:rsidRPr="002A23B6">
        <w:rPr>
          <w:sz w:val="20"/>
          <w:szCs w:val="20"/>
        </w:rPr>
        <w:t>I kw.,</w:t>
      </w:r>
      <w:r w:rsidRPr="00012380">
        <w:rPr>
          <w:sz w:val="20"/>
          <w:szCs w:val="20"/>
        </w:rPr>
        <w:t xml:space="preserve"> 53% w </w:t>
      </w:r>
      <w:r w:rsidRPr="002A23B6">
        <w:rPr>
          <w:sz w:val="20"/>
          <w:szCs w:val="20"/>
        </w:rPr>
        <w:t>II kw.</w:t>
      </w:r>
      <w:r w:rsidRPr="00012380">
        <w:rPr>
          <w:sz w:val="20"/>
          <w:szCs w:val="20"/>
        </w:rPr>
        <w:t xml:space="preserve">, 47% w </w:t>
      </w:r>
      <w:r w:rsidRPr="002A23B6">
        <w:rPr>
          <w:sz w:val="20"/>
          <w:szCs w:val="20"/>
        </w:rPr>
        <w:t xml:space="preserve">III kw. i </w:t>
      </w:r>
      <w:r w:rsidRPr="00012380">
        <w:rPr>
          <w:sz w:val="20"/>
          <w:szCs w:val="20"/>
        </w:rPr>
        <w:t xml:space="preserve">53% w </w:t>
      </w:r>
      <w:r w:rsidRPr="002A23B6">
        <w:rPr>
          <w:sz w:val="20"/>
          <w:szCs w:val="20"/>
        </w:rPr>
        <w:t>IV kw. T</w:t>
      </w:r>
      <w:r w:rsidRPr="00012380">
        <w:rPr>
          <w:sz w:val="20"/>
          <w:szCs w:val="20"/>
        </w:rPr>
        <w:t xml:space="preserve">rend ten wpisuje się w obserwowaną od drugiej połowy 2022 </w:t>
      </w:r>
      <w:r w:rsidR="002A29BF">
        <w:rPr>
          <w:sz w:val="20"/>
          <w:szCs w:val="20"/>
        </w:rPr>
        <w:t xml:space="preserve">roku </w:t>
      </w:r>
      <w:r w:rsidRPr="00012380">
        <w:rPr>
          <w:sz w:val="20"/>
          <w:szCs w:val="20"/>
        </w:rPr>
        <w:t>tendencję wzrostu udziału odnowień – z około 30% w latach 2012-2021 do 40% w latach 2023-2024 i do spodziewanych około 40-50% w kolejnych latach.</w:t>
      </w:r>
    </w:p>
    <w:p w14:paraId="02A5C58F" w14:textId="7415DE6F" w:rsidR="00012380" w:rsidRPr="00012380" w:rsidRDefault="00012380" w:rsidP="00012380">
      <w:pPr>
        <w:spacing w:line="240" w:lineRule="auto"/>
        <w:jc w:val="both"/>
        <w:rPr>
          <w:sz w:val="20"/>
          <w:szCs w:val="20"/>
        </w:rPr>
      </w:pPr>
      <w:r w:rsidRPr="00012380">
        <w:rPr>
          <w:sz w:val="20"/>
          <w:szCs w:val="20"/>
        </w:rPr>
        <w:t xml:space="preserve">Wolumen nowych umów i ekspansji w okresie styczeń-grudzień wyniósł </w:t>
      </w:r>
      <w:r w:rsidR="002A23B6" w:rsidRPr="002A23B6">
        <w:rPr>
          <w:sz w:val="20"/>
          <w:szCs w:val="20"/>
        </w:rPr>
        <w:t xml:space="preserve">blisko </w:t>
      </w:r>
      <w:r w:rsidRPr="00012380">
        <w:rPr>
          <w:sz w:val="20"/>
          <w:szCs w:val="20"/>
        </w:rPr>
        <w:t>3,</w:t>
      </w:r>
      <w:r w:rsidR="002A23B6" w:rsidRPr="002A23B6">
        <w:rPr>
          <w:sz w:val="20"/>
          <w:szCs w:val="20"/>
        </w:rPr>
        <w:t>2</w:t>
      </w:r>
      <w:r w:rsidRPr="00012380">
        <w:rPr>
          <w:sz w:val="20"/>
          <w:szCs w:val="20"/>
        </w:rPr>
        <w:t xml:space="preserve"> mln </w:t>
      </w:r>
      <w:r w:rsidR="002A23B6" w:rsidRPr="002A23B6">
        <w:rPr>
          <w:sz w:val="20"/>
          <w:szCs w:val="20"/>
        </w:rPr>
        <w:t>mkw.</w:t>
      </w:r>
      <w:r w:rsidR="008D5FE1">
        <w:rPr>
          <w:sz w:val="20"/>
          <w:szCs w:val="20"/>
        </w:rPr>
        <w:t xml:space="preserve">, </w:t>
      </w:r>
      <w:r w:rsidRPr="00012380">
        <w:rPr>
          <w:sz w:val="20"/>
          <w:szCs w:val="20"/>
        </w:rPr>
        <w:t xml:space="preserve">z czego </w:t>
      </w:r>
      <w:r w:rsidR="002A23B6" w:rsidRPr="002A23B6">
        <w:rPr>
          <w:sz w:val="20"/>
          <w:szCs w:val="20"/>
        </w:rPr>
        <w:t xml:space="preserve">na IV kw. </w:t>
      </w:r>
      <w:r w:rsidR="0091568D">
        <w:rPr>
          <w:sz w:val="20"/>
          <w:szCs w:val="20"/>
        </w:rPr>
        <w:t>p</w:t>
      </w:r>
      <w:r w:rsidR="002A23B6" w:rsidRPr="002A23B6">
        <w:rPr>
          <w:sz w:val="20"/>
          <w:szCs w:val="20"/>
        </w:rPr>
        <w:t>rzypadło najwięcej</w:t>
      </w:r>
      <w:r w:rsidR="002A29BF">
        <w:rPr>
          <w:sz w:val="20"/>
          <w:szCs w:val="20"/>
        </w:rPr>
        <w:t>,</w:t>
      </w:r>
      <w:r w:rsidR="002A23B6" w:rsidRPr="002A23B6">
        <w:rPr>
          <w:sz w:val="20"/>
          <w:szCs w:val="20"/>
        </w:rPr>
        <w:t xml:space="preserve"> bo ponad 1 mln mkw. wynajętej powierzchni. Tym samym udział nowych kontraktów zanotował spadek </w:t>
      </w:r>
      <w:r w:rsidRPr="00012380">
        <w:rPr>
          <w:sz w:val="20"/>
          <w:szCs w:val="20"/>
        </w:rPr>
        <w:t>o 6%</w:t>
      </w:r>
      <w:r w:rsidR="002A23B6" w:rsidRPr="002A23B6">
        <w:rPr>
          <w:sz w:val="20"/>
          <w:szCs w:val="20"/>
        </w:rPr>
        <w:t xml:space="preserve"> r/r,</w:t>
      </w:r>
      <w:r w:rsidRPr="00012380">
        <w:rPr>
          <w:sz w:val="20"/>
          <w:szCs w:val="20"/>
        </w:rPr>
        <w:t xml:space="preserve"> co świadczy o coraz większym poziomie dojrzałości rynku</w:t>
      </w:r>
      <w:r w:rsidR="00C21975">
        <w:rPr>
          <w:sz w:val="20"/>
          <w:szCs w:val="20"/>
        </w:rPr>
        <w:t xml:space="preserve">, ale też ograniczonej dostępności </w:t>
      </w:r>
      <w:r w:rsidR="007B027D">
        <w:rPr>
          <w:sz w:val="20"/>
          <w:szCs w:val="20"/>
        </w:rPr>
        <w:t xml:space="preserve">powierzchni </w:t>
      </w:r>
      <w:r w:rsidR="00C21975">
        <w:rPr>
          <w:sz w:val="20"/>
          <w:szCs w:val="20"/>
        </w:rPr>
        <w:t>w wybranych lokalizacjach</w:t>
      </w:r>
      <w:r w:rsidR="002A23B6" w:rsidRPr="002A23B6">
        <w:rPr>
          <w:sz w:val="20"/>
          <w:szCs w:val="20"/>
        </w:rPr>
        <w:t>.</w:t>
      </w:r>
    </w:p>
    <w:p w14:paraId="2BC95D4D" w14:textId="55BDEB09" w:rsidR="00B12037" w:rsidRPr="00B12037" w:rsidRDefault="002A23B6" w:rsidP="00B12037">
      <w:pPr>
        <w:spacing w:line="240" w:lineRule="auto"/>
        <w:jc w:val="both"/>
        <w:rPr>
          <w:b/>
          <w:bCs/>
          <w:sz w:val="20"/>
          <w:szCs w:val="20"/>
        </w:rPr>
      </w:pPr>
      <w:r w:rsidRPr="002A23B6">
        <w:rPr>
          <w:sz w:val="20"/>
          <w:szCs w:val="20"/>
        </w:rPr>
        <w:t xml:space="preserve">– </w:t>
      </w:r>
      <w:r w:rsidR="00012380" w:rsidRPr="002A23B6">
        <w:rPr>
          <w:i/>
          <w:iCs/>
          <w:sz w:val="20"/>
          <w:szCs w:val="20"/>
        </w:rPr>
        <w:t xml:space="preserve">Choć oczekujemy, że renegocjacje umów będą nadal wywierać duży wpływ na cały rynek najmu sektora magazynowego, </w:t>
      </w:r>
      <w:proofErr w:type="gramStart"/>
      <w:r w:rsidR="00012380" w:rsidRPr="002A23B6">
        <w:rPr>
          <w:i/>
          <w:iCs/>
          <w:sz w:val="20"/>
          <w:szCs w:val="20"/>
        </w:rPr>
        <w:t>przewidujemy</w:t>
      </w:r>
      <w:proofErr w:type="gramEnd"/>
      <w:r w:rsidR="00012380" w:rsidRPr="002A23B6">
        <w:rPr>
          <w:i/>
          <w:iCs/>
          <w:sz w:val="20"/>
          <w:szCs w:val="20"/>
        </w:rPr>
        <w:t xml:space="preserve"> że nowe umowy nie stracą na znaczeniu. Rosnące zapotrzebowanie na projekty „szyte na miarę” oraz rozwój nowych lokalizacji będą sprzyjać aktywności najemców także w </w:t>
      </w:r>
      <w:r w:rsidRPr="002A23B6">
        <w:rPr>
          <w:i/>
          <w:iCs/>
          <w:sz w:val="20"/>
          <w:szCs w:val="20"/>
        </w:rPr>
        <w:t xml:space="preserve">tym </w:t>
      </w:r>
      <w:r w:rsidR="00012380" w:rsidRPr="002A23B6">
        <w:rPr>
          <w:i/>
          <w:iCs/>
          <w:sz w:val="20"/>
          <w:szCs w:val="20"/>
        </w:rPr>
        <w:t xml:space="preserve">segmencie </w:t>
      </w:r>
      <w:r w:rsidRPr="002A23B6">
        <w:rPr>
          <w:i/>
          <w:iCs/>
          <w:sz w:val="20"/>
          <w:szCs w:val="20"/>
        </w:rPr>
        <w:t>popytu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FF3B30">
        <w:rPr>
          <w:sz w:val="20"/>
          <w:szCs w:val="20"/>
        </w:rPr>
        <w:t>dodaje</w:t>
      </w:r>
      <w:r>
        <w:rPr>
          <w:sz w:val="20"/>
          <w:szCs w:val="20"/>
        </w:rPr>
        <w:t xml:space="preserve"> </w:t>
      </w:r>
      <w:r w:rsidRPr="00717C28">
        <w:rPr>
          <w:b/>
          <w:bCs/>
          <w:sz w:val="20"/>
          <w:szCs w:val="20"/>
        </w:rPr>
        <w:t>Szczepan Gowin</w:t>
      </w:r>
      <w:r w:rsidR="003D7A6C">
        <w:rPr>
          <w:b/>
          <w:bCs/>
          <w:sz w:val="20"/>
          <w:szCs w:val="20"/>
        </w:rPr>
        <w:t xml:space="preserve">, </w:t>
      </w:r>
      <w:proofErr w:type="spellStart"/>
      <w:r w:rsidR="003D7A6C" w:rsidRPr="00717C28">
        <w:rPr>
          <w:b/>
          <w:bCs/>
          <w:sz w:val="20"/>
          <w:szCs w:val="20"/>
        </w:rPr>
        <w:t>Head</w:t>
      </w:r>
      <w:proofErr w:type="spellEnd"/>
      <w:r w:rsidR="003D7A6C" w:rsidRPr="00717C28">
        <w:rPr>
          <w:b/>
          <w:bCs/>
          <w:sz w:val="20"/>
          <w:szCs w:val="20"/>
        </w:rPr>
        <w:t xml:space="preserve"> of </w:t>
      </w:r>
      <w:proofErr w:type="spellStart"/>
      <w:r w:rsidR="003D7A6C" w:rsidRPr="00717C28">
        <w:rPr>
          <w:b/>
          <w:bCs/>
          <w:sz w:val="20"/>
          <w:szCs w:val="20"/>
        </w:rPr>
        <w:t>Industrial</w:t>
      </w:r>
      <w:proofErr w:type="spellEnd"/>
      <w:r w:rsidR="003D7A6C" w:rsidRPr="00717C28">
        <w:rPr>
          <w:b/>
          <w:bCs/>
          <w:sz w:val="20"/>
          <w:szCs w:val="20"/>
        </w:rPr>
        <w:t xml:space="preserve"> &amp; Logistics, </w:t>
      </w:r>
      <w:proofErr w:type="spellStart"/>
      <w:r w:rsidR="003D7A6C" w:rsidRPr="00717C28">
        <w:rPr>
          <w:b/>
          <w:bCs/>
          <w:sz w:val="20"/>
          <w:szCs w:val="20"/>
        </w:rPr>
        <w:t>Cushman</w:t>
      </w:r>
      <w:proofErr w:type="spellEnd"/>
      <w:r w:rsidR="003D7A6C" w:rsidRPr="00717C28">
        <w:rPr>
          <w:b/>
          <w:bCs/>
          <w:sz w:val="20"/>
          <w:szCs w:val="20"/>
        </w:rPr>
        <w:t xml:space="preserve"> &amp; Wakefield</w:t>
      </w:r>
      <w:r>
        <w:rPr>
          <w:b/>
          <w:bCs/>
          <w:sz w:val="20"/>
          <w:szCs w:val="20"/>
        </w:rPr>
        <w:t>.</w:t>
      </w:r>
    </w:p>
    <w:p w14:paraId="2D090148" w14:textId="352486C9" w:rsidR="00071E14" w:rsidRDefault="00071E14" w:rsidP="00071E14">
      <w:pPr>
        <w:spacing w:line="240" w:lineRule="auto"/>
        <w:jc w:val="both"/>
        <w:rPr>
          <w:b/>
          <w:bCs/>
          <w:sz w:val="20"/>
          <w:szCs w:val="20"/>
        </w:rPr>
      </w:pPr>
      <w:r w:rsidRPr="00071E14">
        <w:rPr>
          <w:b/>
          <w:bCs/>
          <w:sz w:val="20"/>
          <w:szCs w:val="20"/>
        </w:rPr>
        <w:t xml:space="preserve">PODAŻ: </w:t>
      </w:r>
      <w:r w:rsidR="00E10F15">
        <w:rPr>
          <w:b/>
          <w:bCs/>
          <w:sz w:val="20"/>
          <w:szCs w:val="20"/>
        </w:rPr>
        <w:t>aktywność deweloperów lekko w górę</w:t>
      </w:r>
    </w:p>
    <w:p w14:paraId="7CC2EFD6" w14:textId="50B0065B" w:rsidR="002A23B6" w:rsidRPr="002A23B6" w:rsidRDefault="002A23B6" w:rsidP="002A23B6">
      <w:pPr>
        <w:spacing w:line="240" w:lineRule="auto"/>
        <w:jc w:val="both"/>
        <w:rPr>
          <w:sz w:val="20"/>
          <w:szCs w:val="20"/>
        </w:rPr>
      </w:pPr>
      <w:r w:rsidRPr="002A23B6">
        <w:rPr>
          <w:sz w:val="20"/>
          <w:szCs w:val="20"/>
        </w:rPr>
        <w:t xml:space="preserve">W </w:t>
      </w:r>
      <w:r>
        <w:rPr>
          <w:sz w:val="20"/>
          <w:szCs w:val="20"/>
        </w:rPr>
        <w:t>IV</w:t>
      </w:r>
      <w:r w:rsidRPr="002A23B6">
        <w:rPr>
          <w:sz w:val="20"/>
          <w:szCs w:val="20"/>
        </w:rPr>
        <w:t xml:space="preserve"> kwartale 2025 roku deweloperzy ukończyli </w:t>
      </w:r>
      <w:r>
        <w:rPr>
          <w:sz w:val="20"/>
          <w:szCs w:val="20"/>
        </w:rPr>
        <w:t xml:space="preserve">budowę </w:t>
      </w:r>
      <w:r w:rsidRPr="002A23B6">
        <w:rPr>
          <w:sz w:val="20"/>
          <w:szCs w:val="20"/>
        </w:rPr>
        <w:t xml:space="preserve">138 </w:t>
      </w:r>
      <w:r w:rsidR="003D7A6C">
        <w:rPr>
          <w:sz w:val="20"/>
          <w:szCs w:val="20"/>
        </w:rPr>
        <w:t>tys.</w:t>
      </w:r>
      <w:r w:rsidRPr="002A23B6">
        <w:rPr>
          <w:sz w:val="20"/>
          <w:szCs w:val="20"/>
        </w:rPr>
        <w:t xml:space="preserve"> m</w:t>
      </w:r>
      <w:r>
        <w:rPr>
          <w:sz w:val="20"/>
          <w:szCs w:val="20"/>
        </w:rPr>
        <w:t>kw.</w:t>
      </w:r>
      <w:r w:rsidRPr="002A23B6">
        <w:rPr>
          <w:sz w:val="20"/>
          <w:szCs w:val="20"/>
        </w:rPr>
        <w:t xml:space="preserve"> nowej powierzchni magazynowej, dzięki czemu całkowite zasoby rynku wyniosły około 36,</w:t>
      </w:r>
      <w:r>
        <w:rPr>
          <w:sz w:val="20"/>
          <w:szCs w:val="20"/>
        </w:rPr>
        <w:t>6</w:t>
      </w:r>
      <w:r w:rsidRPr="002A23B6">
        <w:rPr>
          <w:sz w:val="20"/>
          <w:szCs w:val="20"/>
        </w:rPr>
        <w:t xml:space="preserve"> mln m</w:t>
      </w:r>
      <w:r>
        <w:rPr>
          <w:sz w:val="20"/>
          <w:szCs w:val="20"/>
        </w:rPr>
        <w:t>kw</w:t>
      </w:r>
      <w:r w:rsidRPr="002A23B6">
        <w:rPr>
          <w:sz w:val="20"/>
          <w:szCs w:val="20"/>
        </w:rPr>
        <w:t>. Największe zasoby zgromadzone są w trzech województwach: mazowieckim (7,34 mln m</w:t>
      </w:r>
      <w:r w:rsidR="00E05F40">
        <w:rPr>
          <w:sz w:val="20"/>
          <w:szCs w:val="20"/>
        </w:rPr>
        <w:t>kw.</w:t>
      </w:r>
      <w:r w:rsidRPr="002A23B6">
        <w:rPr>
          <w:sz w:val="20"/>
          <w:szCs w:val="20"/>
        </w:rPr>
        <w:t>), śląskim (6,19 mln m</w:t>
      </w:r>
      <w:r w:rsidR="00E05F40">
        <w:rPr>
          <w:sz w:val="20"/>
          <w:szCs w:val="20"/>
        </w:rPr>
        <w:t>kw.</w:t>
      </w:r>
      <w:r w:rsidRPr="002A23B6">
        <w:rPr>
          <w:sz w:val="20"/>
          <w:szCs w:val="20"/>
        </w:rPr>
        <w:t>) oraz dolnośląskim (5,31 mln m</w:t>
      </w:r>
      <w:r w:rsidR="00E05F40">
        <w:rPr>
          <w:sz w:val="20"/>
          <w:szCs w:val="20"/>
        </w:rPr>
        <w:t>kw.</w:t>
      </w:r>
      <w:r w:rsidRPr="002A23B6">
        <w:rPr>
          <w:sz w:val="20"/>
          <w:szCs w:val="20"/>
        </w:rPr>
        <w:t>).</w:t>
      </w:r>
    </w:p>
    <w:p w14:paraId="5D77F14E" w14:textId="6F02D518" w:rsidR="002A23B6" w:rsidRPr="002E2604" w:rsidRDefault="002A23B6" w:rsidP="002A23B6">
      <w:pPr>
        <w:spacing w:line="240" w:lineRule="auto"/>
        <w:jc w:val="both"/>
        <w:rPr>
          <w:sz w:val="20"/>
          <w:szCs w:val="20"/>
        </w:rPr>
      </w:pPr>
      <w:r w:rsidRPr="002A23B6">
        <w:rPr>
          <w:sz w:val="20"/>
          <w:szCs w:val="20"/>
        </w:rPr>
        <w:t xml:space="preserve">– </w:t>
      </w:r>
      <w:r w:rsidRPr="002A23B6">
        <w:rPr>
          <w:i/>
          <w:iCs/>
          <w:sz w:val="20"/>
          <w:szCs w:val="20"/>
        </w:rPr>
        <w:t xml:space="preserve">Na zakończenie </w:t>
      </w:r>
      <w:r w:rsidR="00E05F40">
        <w:rPr>
          <w:i/>
          <w:iCs/>
          <w:sz w:val="20"/>
          <w:szCs w:val="20"/>
        </w:rPr>
        <w:t>IV</w:t>
      </w:r>
      <w:r w:rsidRPr="002A23B6">
        <w:rPr>
          <w:i/>
          <w:iCs/>
          <w:sz w:val="20"/>
          <w:szCs w:val="20"/>
        </w:rPr>
        <w:t xml:space="preserve"> kwartału 2025 roku wolumen powierzchni w budowie wyniósł </w:t>
      </w:r>
      <w:r w:rsidR="00E10F15">
        <w:rPr>
          <w:i/>
          <w:iCs/>
          <w:sz w:val="20"/>
          <w:szCs w:val="20"/>
        </w:rPr>
        <w:t xml:space="preserve">ok. </w:t>
      </w:r>
      <w:r w:rsidRPr="002A23B6">
        <w:rPr>
          <w:i/>
          <w:iCs/>
          <w:sz w:val="20"/>
          <w:szCs w:val="20"/>
        </w:rPr>
        <w:t>1,</w:t>
      </w:r>
      <w:r w:rsidR="00E10F15">
        <w:rPr>
          <w:i/>
          <w:iCs/>
          <w:sz w:val="20"/>
          <w:szCs w:val="20"/>
        </w:rPr>
        <w:t>8</w:t>
      </w:r>
      <w:r w:rsidRPr="002A23B6">
        <w:rPr>
          <w:i/>
          <w:iCs/>
          <w:sz w:val="20"/>
          <w:szCs w:val="20"/>
        </w:rPr>
        <w:t xml:space="preserve"> mln m</w:t>
      </w:r>
      <w:r w:rsidR="00E10F15">
        <w:rPr>
          <w:i/>
          <w:iCs/>
          <w:sz w:val="20"/>
          <w:szCs w:val="20"/>
        </w:rPr>
        <w:t>kw.</w:t>
      </w:r>
      <w:r w:rsidRPr="002A23B6">
        <w:rPr>
          <w:i/>
          <w:iCs/>
          <w:sz w:val="20"/>
          <w:szCs w:val="20"/>
        </w:rPr>
        <w:t>, co oznacza lekkie odbicie względem początku roku, jednak wciąż wpisuje się w obserwowany trend spadkowy – 23% mniej niż na początku 2024</w:t>
      </w:r>
      <w:r w:rsidR="003D7A6C">
        <w:rPr>
          <w:i/>
          <w:iCs/>
          <w:sz w:val="20"/>
          <w:szCs w:val="20"/>
        </w:rPr>
        <w:t xml:space="preserve"> roku</w:t>
      </w:r>
      <w:r w:rsidRPr="002A23B6">
        <w:rPr>
          <w:i/>
          <w:iCs/>
          <w:sz w:val="20"/>
          <w:szCs w:val="20"/>
        </w:rPr>
        <w:t xml:space="preserve">. Udział inwestycji spekulacyjnych wynosi obecnie 39%, co przekłada się na 690 tys. mkw. powierzchni dostępnej do wynajęcia, wskazując na </w:t>
      </w:r>
      <w:r w:rsidR="002E2604">
        <w:rPr>
          <w:i/>
          <w:iCs/>
          <w:sz w:val="20"/>
          <w:szCs w:val="20"/>
        </w:rPr>
        <w:t xml:space="preserve">podwyższone zainteresowanie najemców powierzchniami w budowie </w:t>
      </w:r>
      <w:r w:rsidRPr="002E2604">
        <w:rPr>
          <w:sz w:val="20"/>
          <w:szCs w:val="20"/>
        </w:rPr>
        <w:t xml:space="preserve">– </w:t>
      </w:r>
      <w:r w:rsidR="003D7A6C" w:rsidRPr="002E2604">
        <w:rPr>
          <w:sz w:val="20"/>
          <w:szCs w:val="20"/>
        </w:rPr>
        <w:t>mówi</w:t>
      </w:r>
      <w:r w:rsidRPr="002E2604">
        <w:rPr>
          <w:sz w:val="20"/>
          <w:szCs w:val="20"/>
        </w:rPr>
        <w:t xml:space="preserve"> </w:t>
      </w:r>
      <w:r w:rsidRPr="002E2604">
        <w:rPr>
          <w:b/>
          <w:bCs/>
          <w:sz w:val="20"/>
          <w:szCs w:val="20"/>
        </w:rPr>
        <w:t>Ewa Derlatka-</w:t>
      </w:r>
      <w:proofErr w:type="spellStart"/>
      <w:r w:rsidRPr="002E2604">
        <w:rPr>
          <w:b/>
          <w:bCs/>
          <w:sz w:val="20"/>
          <w:szCs w:val="20"/>
        </w:rPr>
        <w:t>Chilewicz</w:t>
      </w:r>
      <w:proofErr w:type="spellEnd"/>
      <w:r w:rsidRPr="002E2604">
        <w:rPr>
          <w:b/>
          <w:bCs/>
          <w:sz w:val="20"/>
          <w:szCs w:val="20"/>
        </w:rPr>
        <w:t xml:space="preserve">, </w:t>
      </w:r>
      <w:proofErr w:type="spellStart"/>
      <w:r w:rsidRPr="002E2604">
        <w:rPr>
          <w:b/>
          <w:bCs/>
          <w:sz w:val="20"/>
          <w:szCs w:val="20"/>
        </w:rPr>
        <w:t>Head</w:t>
      </w:r>
      <w:proofErr w:type="spellEnd"/>
      <w:r w:rsidRPr="002E2604">
        <w:rPr>
          <w:b/>
          <w:bCs/>
          <w:sz w:val="20"/>
          <w:szCs w:val="20"/>
        </w:rPr>
        <w:t xml:space="preserve"> of </w:t>
      </w:r>
      <w:proofErr w:type="spellStart"/>
      <w:r w:rsidRPr="002E2604">
        <w:rPr>
          <w:b/>
          <w:bCs/>
          <w:sz w:val="20"/>
          <w:szCs w:val="20"/>
        </w:rPr>
        <w:t>Research</w:t>
      </w:r>
      <w:proofErr w:type="spellEnd"/>
      <w:r w:rsidRPr="002E2604">
        <w:rPr>
          <w:b/>
          <w:bCs/>
          <w:sz w:val="20"/>
          <w:szCs w:val="20"/>
        </w:rPr>
        <w:t xml:space="preserve">, </w:t>
      </w:r>
      <w:proofErr w:type="spellStart"/>
      <w:r w:rsidRPr="002E2604">
        <w:rPr>
          <w:b/>
          <w:bCs/>
          <w:sz w:val="20"/>
          <w:szCs w:val="20"/>
        </w:rPr>
        <w:t>Cushman</w:t>
      </w:r>
      <w:proofErr w:type="spellEnd"/>
      <w:r w:rsidRPr="002E2604">
        <w:rPr>
          <w:b/>
          <w:bCs/>
          <w:sz w:val="20"/>
          <w:szCs w:val="20"/>
        </w:rPr>
        <w:t xml:space="preserve"> &amp; Wakefield.</w:t>
      </w:r>
    </w:p>
    <w:p w14:paraId="5D71343F" w14:textId="77777777" w:rsidR="002A23B6" w:rsidRPr="002A23B6" w:rsidRDefault="002A23B6" w:rsidP="002A23B6">
      <w:pPr>
        <w:spacing w:line="240" w:lineRule="auto"/>
        <w:jc w:val="both"/>
        <w:rPr>
          <w:sz w:val="20"/>
          <w:szCs w:val="20"/>
        </w:rPr>
      </w:pPr>
      <w:r w:rsidRPr="002A23B6">
        <w:rPr>
          <w:sz w:val="20"/>
          <w:szCs w:val="20"/>
        </w:rPr>
        <w:lastRenderedPageBreak/>
        <w:t>Region Mazowsza pozostaje liderem pod względem aktywności deweloperskiej – odpowiada za 36% krajowego wolumenu powierzchni w budowie. Wysoką aktywność wykazują również województwa pomorskie (12%), śląskie (11%) oraz łódzkie (11%). Cztery wymienione województwa odpowiadają za 70% całkowitej powierzchni w realizacji w Polsce.</w:t>
      </w:r>
    </w:p>
    <w:p w14:paraId="6E79D5D2" w14:textId="522E8A0A" w:rsidR="00E10F15" w:rsidRDefault="00E10F15" w:rsidP="00E10F15">
      <w:pPr>
        <w:spacing w:line="240" w:lineRule="auto"/>
        <w:jc w:val="both"/>
        <w:rPr>
          <w:b/>
          <w:bCs/>
          <w:sz w:val="20"/>
          <w:szCs w:val="20"/>
        </w:rPr>
      </w:pPr>
      <w:r w:rsidRPr="00E10F15">
        <w:rPr>
          <w:i/>
          <w:iCs/>
          <w:sz w:val="20"/>
          <w:szCs w:val="20"/>
        </w:rPr>
        <w:t xml:space="preserve">– </w:t>
      </w:r>
      <w:r w:rsidR="002A23B6" w:rsidRPr="002A23B6">
        <w:rPr>
          <w:i/>
          <w:iCs/>
          <w:sz w:val="20"/>
          <w:szCs w:val="20"/>
        </w:rPr>
        <w:t xml:space="preserve">W czwartym kwartale rozpoczęto realizację 444 </w:t>
      </w:r>
      <w:r w:rsidR="003D7A6C">
        <w:rPr>
          <w:i/>
          <w:iCs/>
          <w:sz w:val="20"/>
          <w:szCs w:val="20"/>
        </w:rPr>
        <w:t>tys.</w:t>
      </w:r>
      <w:r w:rsidR="002A23B6" w:rsidRPr="002A23B6">
        <w:rPr>
          <w:i/>
          <w:iCs/>
          <w:sz w:val="20"/>
          <w:szCs w:val="20"/>
        </w:rPr>
        <w:t xml:space="preserve"> m</w:t>
      </w:r>
      <w:r w:rsidRPr="00E10F15">
        <w:rPr>
          <w:i/>
          <w:iCs/>
          <w:sz w:val="20"/>
          <w:szCs w:val="20"/>
        </w:rPr>
        <w:t>kw.</w:t>
      </w:r>
      <w:r w:rsidR="002A23B6" w:rsidRPr="002A23B6">
        <w:rPr>
          <w:i/>
          <w:iCs/>
          <w:sz w:val="20"/>
          <w:szCs w:val="20"/>
        </w:rPr>
        <w:t xml:space="preserve"> nowych inwestycji przemysłowych. Największą aktywność odnotowano w województwach mazowieckim</w:t>
      </w:r>
      <w:r w:rsidRPr="00E10F15">
        <w:rPr>
          <w:i/>
          <w:iCs/>
          <w:sz w:val="20"/>
          <w:szCs w:val="20"/>
        </w:rPr>
        <w:t xml:space="preserve">, gdzie w budowie pozostawało </w:t>
      </w:r>
      <w:r w:rsidR="002A23B6" w:rsidRPr="002A23B6">
        <w:rPr>
          <w:i/>
          <w:iCs/>
          <w:sz w:val="20"/>
          <w:szCs w:val="20"/>
        </w:rPr>
        <w:t>250</w:t>
      </w:r>
      <w:r w:rsidRPr="00E10F15">
        <w:rPr>
          <w:i/>
          <w:iCs/>
          <w:sz w:val="20"/>
          <w:szCs w:val="20"/>
        </w:rPr>
        <w:t> 000 mkw.</w:t>
      </w:r>
      <w:r w:rsidR="002A23B6" w:rsidRPr="002A23B6">
        <w:rPr>
          <w:i/>
          <w:iCs/>
          <w:sz w:val="20"/>
          <w:szCs w:val="20"/>
        </w:rPr>
        <w:t xml:space="preserve"> </w:t>
      </w:r>
      <w:r w:rsidR="002A23B6" w:rsidRPr="002A23B6">
        <w:rPr>
          <w:i/>
          <w:iCs/>
          <w:sz w:val="20"/>
          <w:szCs w:val="20"/>
        </w:rPr>
        <w:br/>
        <w:t xml:space="preserve">oraz łódzkim </w:t>
      </w:r>
      <w:r w:rsidR="003D7A6C">
        <w:rPr>
          <w:i/>
          <w:iCs/>
          <w:sz w:val="20"/>
          <w:szCs w:val="20"/>
        </w:rPr>
        <w:t>–</w:t>
      </w:r>
      <w:r w:rsidRPr="00E10F15">
        <w:rPr>
          <w:i/>
          <w:iCs/>
          <w:sz w:val="20"/>
          <w:szCs w:val="20"/>
        </w:rPr>
        <w:t xml:space="preserve"> </w:t>
      </w:r>
      <w:r w:rsidR="002A23B6" w:rsidRPr="002A23B6">
        <w:rPr>
          <w:i/>
          <w:iCs/>
          <w:sz w:val="20"/>
          <w:szCs w:val="20"/>
        </w:rPr>
        <w:t>97</w:t>
      </w:r>
      <w:r w:rsidRPr="00E10F15">
        <w:rPr>
          <w:i/>
          <w:iCs/>
          <w:sz w:val="20"/>
          <w:szCs w:val="20"/>
        </w:rPr>
        <w:t> </w:t>
      </w:r>
      <w:r w:rsidR="003D7A6C">
        <w:rPr>
          <w:i/>
          <w:iCs/>
          <w:sz w:val="20"/>
          <w:szCs w:val="20"/>
        </w:rPr>
        <w:t>tys.</w:t>
      </w:r>
      <w:r w:rsidRPr="00E10F15">
        <w:rPr>
          <w:i/>
          <w:iCs/>
          <w:sz w:val="20"/>
          <w:szCs w:val="20"/>
        </w:rPr>
        <w:t xml:space="preserve"> mkw</w:t>
      </w:r>
      <w:r w:rsidR="002A23B6" w:rsidRPr="002A23B6">
        <w:rPr>
          <w:i/>
          <w:iCs/>
          <w:sz w:val="20"/>
          <w:szCs w:val="20"/>
        </w:rPr>
        <w:t>.</w:t>
      </w:r>
      <w:r>
        <w:rPr>
          <w:sz w:val="20"/>
          <w:szCs w:val="20"/>
        </w:rPr>
        <w:t xml:space="preserve"> – komentuje </w:t>
      </w:r>
      <w:r w:rsidR="00C51ECC">
        <w:rPr>
          <w:b/>
          <w:bCs/>
          <w:sz w:val="20"/>
          <w:szCs w:val="20"/>
        </w:rPr>
        <w:t xml:space="preserve">Zuzanna </w:t>
      </w:r>
      <w:proofErr w:type="spellStart"/>
      <w:r w:rsidR="00C51ECC">
        <w:rPr>
          <w:b/>
          <w:bCs/>
          <w:sz w:val="20"/>
          <w:szCs w:val="20"/>
        </w:rPr>
        <w:t>Seger</w:t>
      </w:r>
      <w:proofErr w:type="spellEnd"/>
      <w:r w:rsidRPr="00CF6A7C">
        <w:rPr>
          <w:b/>
          <w:bCs/>
          <w:sz w:val="20"/>
          <w:szCs w:val="20"/>
        </w:rPr>
        <w:t xml:space="preserve">, Analityk Rynku, </w:t>
      </w:r>
      <w:proofErr w:type="spellStart"/>
      <w:r w:rsidRPr="00CF6A7C">
        <w:rPr>
          <w:b/>
          <w:bCs/>
          <w:sz w:val="20"/>
          <w:szCs w:val="20"/>
        </w:rPr>
        <w:t>Cushman</w:t>
      </w:r>
      <w:proofErr w:type="spellEnd"/>
      <w:r w:rsidRPr="00CF6A7C">
        <w:rPr>
          <w:b/>
          <w:bCs/>
          <w:sz w:val="20"/>
          <w:szCs w:val="20"/>
        </w:rPr>
        <w:t xml:space="preserve"> &amp; Wakefield. </w:t>
      </w:r>
    </w:p>
    <w:p w14:paraId="0D030428" w14:textId="77777777" w:rsidR="00E10F15" w:rsidRPr="00E10F15" w:rsidRDefault="00E10F15" w:rsidP="00E10F15">
      <w:pPr>
        <w:spacing w:line="240" w:lineRule="auto"/>
        <w:jc w:val="both"/>
        <w:rPr>
          <w:sz w:val="20"/>
          <w:szCs w:val="20"/>
        </w:rPr>
      </w:pPr>
      <w:r w:rsidRPr="00E10F15">
        <w:rPr>
          <w:sz w:val="20"/>
          <w:szCs w:val="20"/>
        </w:rPr>
        <w:t xml:space="preserve">W obecnym otoczeniu rynkowym deweloperzy oraz instytucje finansowe podchodzą </w:t>
      </w:r>
      <w:r w:rsidRPr="00E10F15">
        <w:rPr>
          <w:sz w:val="20"/>
          <w:szCs w:val="20"/>
        </w:rPr>
        <w:br/>
        <w:t xml:space="preserve">do nowych inwestycji magazynowych z umiarkowaną ostrożnością. </w:t>
      </w:r>
    </w:p>
    <w:p w14:paraId="347319BA" w14:textId="1A6CB7EF" w:rsidR="003B34EB" w:rsidRPr="00E10F15" w:rsidRDefault="00E10F15" w:rsidP="003B34EB">
      <w:pPr>
        <w:spacing w:line="240" w:lineRule="auto"/>
        <w:jc w:val="both"/>
        <w:rPr>
          <w:b/>
          <w:bCs/>
          <w:sz w:val="20"/>
          <w:szCs w:val="20"/>
        </w:rPr>
      </w:pPr>
      <w:r w:rsidRPr="00E10F15">
        <w:rPr>
          <w:i/>
          <w:iCs/>
          <w:sz w:val="20"/>
          <w:szCs w:val="20"/>
        </w:rPr>
        <w:t xml:space="preserve">– Rozpoczęcie projektów jest coraz częściej uzależnione od wcześniejszego zabezpieczenia najmu. Inwestycje realizowane w pełni spekulacyjnie należą aktualnie do rzadkości i koncentrują się głównie na wybranych </w:t>
      </w:r>
      <w:proofErr w:type="spellStart"/>
      <w:r w:rsidRPr="00E10F15">
        <w:rPr>
          <w:i/>
          <w:iCs/>
          <w:sz w:val="20"/>
          <w:szCs w:val="20"/>
        </w:rPr>
        <w:t>subrynkach</w:t>
      </w:r>
      <w:proofErr w:type="spellEnd"/>
      <w:r w:rsidRPr="00E10F15">
        <w:rPr>
          <w:i/>
          <w:iCs/>
          <w:sz w:val="20"/>
          <w:szCs w:val="20"/>
        </w:rPr>
        <w:t xml:space="preserve"> typu „</w:t>
      </w:r>
      <w:proofErr w:type="spellStart"/>
      <w:r w:rsidRPr="00E10F15">
        <w:rPr>
          <w:i/>
          <w:iCs/>
          <w:sz w:val="20"/>
          <w:szCs w:val="20"/>
        </w:rPr>
        <w:t>core</w:t>
      </w:r>
      <w:proofErr w:type="spellEnd"/>
      <w:r w:rsidRPr="00E10F15">
        <w:rPr>
          <w:i/>
          <w:iCs/>
          <w:sz w:val="20"/>
          <w:szCs w:val="20"/>
        </w:rPr>
        <w:t>”, charakteryzujących się niskim poziomem pustostanów</w:t>
      </w:r>
      <w:r w:rsidR="002146EE">
        <w:rPr>
          <w:i/>
          <w:iCs/>
          <w:sz w:val="20"/>
          <w:szCs w:val="20"/>
        </w:rPr>
        <w:t xml:space="preserve"> </w:t>
      </w:r>
      <w:r w:rsidR="00EB02CA">
        <w:rPr>
          <w:sz w:val="20"/>
          <w:szCs w:val="20"/>
        </w:rPr>
        <w:t xml:space="preserve">– </w:t>
      </w:r>
      <w:r>
        <w:rPr>
          <w:sz w:val="20"/>
          <w:szCs w:val="20"/>
        </w:rPr>
        <w:t>tłumaczy</w:t>
      </w:r>
      <w:r w:rsidR="00EB02CA">
        <w:rPr>
          <w:sz w:val="20"/>
          <w:szCs w:val="20"/>
        </w:rPr>
        <w:t xml:space="preserve"> </w:t>
      </w:r>
      <w:r w:rsidR="00717C28" w:rsidRPr="00717C28">
        <w:rPr>
          <w:b/>
          <w:bCs/>
          <w:sz w:val="20"/>
          <w:szCs w:val="20"/>
        </w:rPr>
        <w:t xml:space="preserve">Renata </w:t>
      </w:r>
      <w:r w:rsidR="003C0E8F" w:rsidRPr="00717C28">
        <w:rPr>
          <w:b/>
          <w:bCs/>
          <w:sz w:val="20"/>
          <w:szCs w:val="20"/>
        </w:rPr>
        <w:t>Krzyżanowska</w:t>
      </w:r>
      <w:r w:rsidR="00717C28">
        <w:rPr>
          <w:b/>
          <w:bCs/>
          <w:sz w:val="20"/>
          <w:szCs w:val="20"/>
        </w:rPr>
        <w:t xml:space="preserve">, </w:t>
      </w:r>
      <w:proofErr w:type="spellStart"/>
      <w:r w:rsidR="00BD306F" w:rsidRPr="00BD306F">
        <w:rPr>
          <w:b/>
          <w:bCs/>
          <w:sz w:val="20"/>
          <w:szCs w:val="20"/>
        </w:rPr>
        <w:t>Associate</w:t>
      </w:r>
      <w:proofErr w:type="spellEnd"/>
      <w:r w:rsidR="00717C28">
        <w:rPr>
          <w:b/>
          <w:bCs/>
          <w:sz w:val="20"/>
          <w:szCs w:val="20"/>
        </w:rPr>
        <w:t xml:space="preserve">, </w:t>
      </w:r>
      <w:proofErr w:type="spellStart"/>
      <w:r w:rsidR="00717C28" w:rsidRPr="00CF6A7C">
        <w:rPr>
          <w:b/>
          <w:bCs/>
          <w:sz w:val="20"/>
          <w:szCs w:val="20"/>
        </w:rPr>
        <w:t>Cushman</w:t>
      </w:r>
      <w:proofErr w:type="spellEnd"/>
      <w:r w:rsidR="00717C28" w:rsidRPr="00CF6A7C">
        <w:rPr>
          <w:b/>
          <w:bCs/>
          <w:sz w:val="20"/>
          <w:szCs w:val="20"/>
        </w:rPr>
        <w:t xml:space="preserve"> &amp; Wakefield.</w:t>
      </w:r>
    </w:p>
    <w:p w14:paraId="0723313B" w14:textId="398E9C29" w:rsidR="00BE2833" w:rsidRPr="00BE2833" w:rsidRDefault="00BE2833" w:rsidP="00BE2833">
      <w:pPr>
        <w:spacing w:line="240" w:lineRule="auto"/>
        <w:jc w:val="both"/>
        <w:rPr>
          <w:b/>
          <w:bCs/>
          <w:sz w:val="20"/>
          <w:szCs w:val="20"/>
        </w:rPr>
      </w:pPr>
      <w:r w:rsidRPr="00BE2833">
        <w:rPr>
          <w:b/>
          <w:bCs/>
          <w:sz w:val="20"/>
          <w:szCs w:val="20"/>
        </w:rPr>
        <w:t xml:space="preserve">PUSTOSTANY: </w:t>
      </w:r>
      <w:r w:rsidR="00FA424D">
        <w:rPr>
          <w:b/>
          <w:bCs/>
          <w:sz w:val="20"/>
          <w:szCs w:val="20"/>
        </w:rPr>
        <w:t>korzystna końcówka roku</w:t>
      </w:r>
      <w:r w:rsidR="004B6DD9">
        <w:rPr>
          <w:b/>
          <w:bCs/>
          <w:sz w:val="20"/>
          <w:szCs w:val="20"/>
        </w:rPr>
        <w:t>, nierównomier</w:t>
      </w:r>
      <w:r w:rsidR="00FA424D">
        <w:rPr>
          <w:b/>
          <w:bCs/>
          <w:sz w:val="20"/>
          <w:szCs w:val="20"/>
        </w:rPr>
        <w:t>na dostępność</w:t>
      </w:r>
    </w:p>
    <w:p w14:paraId="6F313401" w14:textId="567C1359" w:rsidR="00E10F15" w:rsidRPr="00E10F15" w:rsidRDefault="00E10F15" w:rsidP="00E10F15">
      <w:pPr>
        <w:spacing w:line="240" w:lineRule="auto"/>
        <w:jc w:val="both"/>
        <w:rPr>
          <w:sz w:val="20"/>
          <w:szCs w:val="20"/>
        </w:rPr>
      </w:pPr>
      <w:r w:rsidRPr="00E10F15">
        <w:rPr>
          <w:sz w:val="20"/>
          <w:szCs w:val="20"/>
        </w:rPr>
        <w:t xml:space="preserve">W </w:t>
      </w:r>
      <w:r>
        <w:rPr>
          <w:sz w:val="20"/>
          <w:szCs w:val="20"/>
        </w:rPr>
        <w:t>IV</w:t>
      </w:r>
      <w:r w:rsidRPr="00E10F15">
        <w:rPr>
          <w:sz w:val="20"/>
          <w:szCs w:val="20"/>
        </w:rPr>
        <w:t xml:space="preserve"> kwartale 2025 roku dostępna powierzchnia magazynowa w Polsce wyniosła niecałe 2,70 mln m</w:t>
      </w:r>
      <w:r>
        <w:rPr>
          <w:sz w:val="20"/>
          <w:szCs w:val="20"/>
        </w:rPr>
        <w:t>kw.</w:t>
      </w:r>
      <w:r w:rsidRPr="00E10F15">
        <w:rPr>
          <w:sz w:val="20"/>
          <w:szCs w:val="20"/>
        </w:rPr>
        <w:t>, co przekłada się na poziom wskaźnika pustostanów o wielkości 7,4%. Oznacza to spadek o 0,8 pp. względem poprzedniego kwartału oraz delikatny 0,1 pkt proc. spadek w porównaniu z końcówką 2024 roku.</w:t>
      </w:r>
    </w:p>
    <w:p w14:paraId="4C855199" w14:textId="2A2A4040" w:rsidR="00E10F15" w:rsidRPr="00E10F15" w:rsidRDefault="00845628" w:rsidP="00E10F1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10F15" w:rsidRPr="00845628">
        <w:rPr>
          <w:i/>
          <w:iCs/>
          <w:sz w:val="20"/>
          <w:szCs w:val="20"/>
        </w:rPr>
        <w:t>Najwyższy poziom pustostanów odnotowano w województwach świętokrzyskim (17,2%), lubuskim (16,2%) oraz lubelskim (10,9%). Najniższy utrzymuje się z kolei w regionach o ograniczonej podaży – podlaskim (0%), opolskim (1,2%), a także zachodniopomorskim (1,2%)</w:t>
      </w:r>
      <w:r w:rsidR="002567A2" w:rsidRPr="00845628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2567A2">
        <w:rPr>
          <w:sz w:val="20"/>
          <w:szCs w:val="20"/>
        </w:rPr>
        <w:t xml:space="preserve"> dodaje </w:t>
      </w:r>
      <w:proofErr w:type="spellStart"/>
      <w:r w:rsidR="002567A2">
        <w:rPr>
          <w:b/>
          <w:bCs/>
          <w:sz w:val="20"/>
          <w:szCs w:val="20"/>
        </w:rPr>
        <w:t>Vitalii</w:t>
      </w:r>
      <w:proofErr w:type="spellEnd"/>
      <w:r w:rsidR="002567A2">
        <w:rPr>
          <w:b/>
          <w:bCs/>
          <w:sz w:val="20"/>
          <w:szCs w:val="20"/>
        </w:rPr>
        <w:t xml:space="preserve"> </w:t>
      </w:r>
      <w:proofErr w:type="spellStart"/>
      <w:r w:rsidR="002567A2">
        <w:rPr>
          <w:b/>
          <w:bCs/>
          <w:sz w:val="20"/>
          <w:szCs w:val="20"/>
        </w:rPr>
        <w:t>Arkhypenko</w:t>
      </w:r>
      <w:proofErr w:type="spellEnd"/>
      <w:r w:rsidR="002567A2" w:rsidRPr="00CF6A7C">
        <w:rPr>
          <w:b/>
          <w:bCs/>
          <w:sz w:val="20"/>
          <w:szCs w:val="20"/>
        </w:rPr>
        <w:t xml:space="preserve">, Analityk Rynku, </w:t>
      </w:r>
      <w:proofErr w:type="spellStart"/>
      <w:r w:rsidR="002567A2" w:rsidRPr="00CF6A7C">
        <w:rPr>
          <w:b/>
          <w:bCs/>
          <w:sz w:val="20"/>
          <w:szCs w:val="20"/>
        </w:rPr>
        <w:t>Cushman</w:t>
      </w:r>
      <w:proofErr w:type="spellEnd"/>
      <w:r w:rsidR="002567A2" w:rsidRPr="00CF6A7C">
        <w:rPr>
          <w:b/>
          <w:bCs/>
          <w:sz w:val="20"/>
          <w:szCs w:val="20"/>
        </w:rPr>
        <w:t xml:space="preserve"> &amp; Wakefield.</w:t>
      </w:r>
    </w:p>
    <w:p w14:paraId="31984355" w14:textId="77777777" w:rsidR="00E10F15" w:rsidRPr="00E10F15" w:rsidRDefault="00E10F15" w:rsidP="00E10F15">
      <w:pPr>
        <w:spacing w:line="240" w:lineRule="auto"/>
        <w:jc w:val="both"/>
        <w:rPr>
          <w:sz w:val="20"/>
          <w:szCs w:val="20"/>
        </w:rPr>
      </w:pPr>
      <w:r w:rsidRPr="00E10F15">
        <w:rPr>
          <w:sz w:val="20"/>
          <w:szCs w:val="20"/>
        </w:rPr>
        <w:t>Ograniczony udział inwestycji realizowanych w sposób spekulacyjny, powinien ograniczać dalszy wzrost pustostanów, stabilizując rynek i wspierając jego równowagę w kolejnych kwartałach.</w:t>
      </w:r>
    </w:p>
    <w:p w14:paraId="22181FF3" w14:textId="08818823" w:rsidR="00BE2833" w:rsidRPr="00BE2833" w:rsidRDefault="00BE2833" w:rsidP="00EB02CA">
      <w:pPr>
        <w:spacing w:line="240" w:lineRule="auto"/>
        <w:jc w:val="both"/>
        <w:rPr>
          <w:b/>
          <w:bCs/>
          <w:sz w:val="20"/>
          <w:szCs w:val="20"/>
        </w:rPr>
      </w:pPr>
      <w:r w:rsidRPr="00BE2833">
        <w:rPr>
          <w:b/>
          <w:bCs/>
          <w:sz w:val="20"/>
          <w:szCs w:val="20"/>
        </w:rPr>
        <w:t>C</w:t>
      </w:r>
      <w:r w:rsidR="00884D78">
        <w:rPr>
          <w:b/>
          <w:bCs/>
          <w:sz w:val="20"/>
          <w:szCs w:val="20"/>
        </w:rPr>
        <w:t>ZYNSZE</w:t>
      </w:r>
      <w:r w:rsidRPr="00BE2833">
        <w:rPr>
          <w:b/>
          <w:bCs/>
          <w:sz w:val="20"/>
          <w:szCs w:val="20"/>
        </w:rPr>
        <w:t xml:space="preserve">: </w:t>
      </w:r>
      <w:r w:rsidR="004218A2">
        <w:rPr>
          <w:b/>
          <w:bCs/>
          <w:sz w:val="20"/>
          <w:szCs w:val="20"/>
        </w:rPr>
        <w:t xml:space="preserve">stawki </w:t>
      </w:r>
      <w:r w:rsidR="00387155">
        <w:rPr>
          <w:b/>
          <w:bCs/>
          <w:sz w:val="20"/>
          <w:szCs w:val="20"/>
        </w:rPr>
        <w:t>czynszu bez zmian</w:t>
      </w:r>
    </w:p>
    <w:p w14:paraId="009FB1FB" w14:textId="4ACD5D13" w:rsidR="00E10F15" w:rsidRDefault="00E10F15" w:rsidP="00E10F15">
      <w:pPr>
        <w:spacing w:line="240" w:lineRule="auto"/>
        <w:jc w:val="both"/>
        <w:rPr>
          <w:sz w:val="20"/>
          <w:szCs w:val="20"/>
        </w:rPr>
      </w:pPr>
      <w:r w:rsidRPr="00E10F15">
        <w:rPr>
          <w:sz w:val="20"/>
          <w:szCs w:val="20"/>
        </w:rPr>
        <w:t xml:space="preserve">W </w:t>
      </w:r>
      <w:r>
        <w:rPr>
          <w:sz w:val="20"/>
          <w:szCs w:val="20"/>
        </w:rPr>
        <w:t>IV</w:t>
      </w:r>
      <w:r w:rsidRPr="00E10F15">
        <w:rPr>
          <w:sz w:val="20"/>
          <w:szCs w:val="20"/>
        </w:rPr>
        <w:t xml:space="preserve"> kwartale 2025 roku poziom czynszów pozostał stabilny – rynek</w:t>
      </w:r>
      <w:r>
        <w:rPr>
          <w:sz w:val="20"/>
          <w:szCs w:val="20"/>
        </w:rPr>
        <w:t xml:space="preserve"> </w:t>
      </w:r>
      <w:r w:rsidRPr="00E10F15">
        <w:rPr>
          <w:sz w:val="20"/>
          <w:szCs w:val="20"/>
        </w:rPr>
        <w:t>nie odnotował istotnych zmian. Większe możliwości negocjacyjne dla najemców w postaci korzystniejszych zachęt poza czynszowych obserwowane są głównie na rynkach z wysokim poziomem pustostanów.</w:t>
      </w:r>
    </w:p>
    <w:p w14:paraId="1E19E9DC" w14:textId="77777777" w:rsidR="00C64292" w:rsidRPr="00E05F40" w:rsidRDefault="00C64292" w:rsidP="00C64292">
      <w:pPr>
        <w:spacing w:line="240" w:lineRule="auto"/>
        <w:jc w:val="both"/>
        <w:rPr>
          <w:b/>
          <w:bCs/>
          <w:sz w:val="20"/>
          <w:szCs w:val="20"/>
        </w:rPr>
      </w:pPr>
      <w:r w:rsidRPr="00E05F40">
        <w:rPr>
          <w:b/>
          <w:bCs/>
          <w:sz w:val="20"/>
          <w:szCs w:val="20"/>
        </w:rPr>
        <w:t>RYNEK PRACY</w:t>
      </w:r>
    </w:p>
    <w:p w14:paraId="632D6381" w14:textId="77777777" w:rsidR="00C64292" w:rsidRPr="00E10F15" w:rsidRDefault="00C64292" w:rsidP="00C64292">
      <w:pPr>
        <w:spacing w:line="240" w:lineRule="auto"/>
        <w:jc w:val="both"/>
        <w:rPr>
          <w:sz w:val="20"/>
          <w:szCs w:val="20"/>
        </w:rPr>
      </w:pPr>
      <w:r w:rsidRPr="00E10F15">
        <w:rPr>
          <w:sz w:val="20"/>
          <w:szCs w:val="20"/>
        </w:rPr>
        <w:t>Końcówka roku 2025 w sektorze przemysłowym i logistycznym uwidoczniła bardzo wyraźny trend: ekstremalne spłaszczenie wynagrodzeń podstawowych.</w:t>
      </w:r>
    </w:p>
    <w:p w14:paraId="5F4F29BF" w14:textId="77777777" w:rsidR="00C64292" w:rsidRPr="00E05F40" w:rsidRDefault="00C64292" w:rsidP="00C64292">
      <w:pPr>
        <w:spacing w:line="240" w:lineRule="auto"/>
        <w:jc w:val="both"/>
        <w:rPr>
          <w:sz w:val="20"/>
          <w:szCs w:val="20"/>
        </w:rPr>
      </w:pPr>
      <w:r w:rsidRPr="00013F63">
        <w:rPr>
          <w:sz w:val="20"/>
          <w:szCs w:val="20"/>
        </w:rPr>
        <w:t xml:space="preserve">Z danych rynkowych zebranych przez </w:t>
      </w:r>
      <w:proofErr w:type="spellStart"/>
      <w:r w:rsidRPr="00013F63">
        <w:rPr>
          <w:sz w:val="20"/>
          <w:szCs w:val="20"/>
        </w:rPr>
        <w:t>Randstad</w:t>
      </w:r>
      <w:proofErr w:type="spellEnd"/>
      <w:r w:rsidRPr="00013F63">
        <w:rPr>
          <w:sz w:val="20"/>
          <w:szCs w:val="20"/>
        </w:rPr>
        <w:t xml:space="preserve"> wynika, że różnica w stawce zasadniczej między pracownikiem wykonującym prace proste, a operatorem maszyn, stopniała do zaledwie 1,05 zł brutto/godz. To efekt presji na podnoszenie płacy minimalnej, która zrównała wycenę ról podstawowych ze stanowiskami technicznymi. W rezultacie premia za kwalifikacje przeniosła się niemal w całości do składników zmiennych – </w:t>
      </w:r>
      <w:r w:rsidRPr="00013F63">
        <w:rPr>
          <w:sz w:val="20"/>
          <w:szCs w:val="20"/>
        </w:rPr>
        <w:lastRenderedPageBreak/>
        <w:t>operatorzy zarabiają realnie więcej (średnio o 2,55 zł/godz.), ale te pieniądze ukryte są w dodatkach i premiach, a nie w podstawie.</w:t>
      </w:r>
      <w:r>
        <w:rPr>
          <w:sz w:val="20"/>
          <w:szCs w:val="20"/>
        </w:rPr>
        <w:t xml:space="preserve"> W tym roku</w:t>
      </w:r>
      <w:r w:rsidRPr="00E05F40">
        <w:rPr>
          <w:sz w:val="20"/>
          <w:szCs w:val="20"/>
        </w:rPr>
        <w:t xml:space="preserve"> proces rekrutacji wydłużył się </w:t>
      </w:r>
      <w:r>
        <w:rPr>
          <w:sz w:val="20"/>
          <w:szCs w:val="20"/>
        </w:rPr>
        <w:t>już</w:t>
      </w:r>
      <w:r w:rsidRPr="00E05F40">
        <w:rPr>
          <w:sz w:val="20"/>
          <w:szCs w:val="20"/>
        </w:rPr>
        <w:t xml:space="preserve"> średnio </w:t>
      </w:r>
      <w:r>
        <w:rPr>
          <w:sz w:val="20"/>
          <w:szCs w:val="20"/>
        </w:rPr>
        <w:t xml:space="preserve">do </w:t>
      </w:r>
      <w:r w:rsidRPr="00E05F40">
        <w:rPr>
          <w:sz w:val="20"/>
          <w:szCs w:val="20"/>
        </w:rPr>
        <w:t>3,3 miesiąca, a pracownicy nie podejmują pochopnie decyzji o zmianie firmy.</w:t>
      </w:r>
    </w:p>
    <w:p w14:paraId="117A5BA1" w14:textId="1AC13184" w:rsidR="00C64292" w:rsidRDefault="00C64292" w:rsidP="00E10F1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Jak podkreślają eksperci </w:t>
      </w:r>
      <w:proofErr w:type="spellStart"/>
      <w:r>
        <w:rPr>
          <w:sz w:val="20"/>
          <w:szCs w:val="20"/>
        </w:rPr>
        <w:t>Randstad</w:t>
      </w:r>
      <w:proofErr w:type="spellEnd"/>
      <w:r>
        <w:rPr>
          <w:sz w:val="20"/>
          <w:szCs w:val="20"/>
        </w:rPr>
        <w:t>, s</w:t>
      </w:r>
      <w:r w:rsidRPr="00013F63">
        <w:rPr>
          <w:sz w:val="20"/>
          <w:szCs w:val="20"/>
        </w:rPr>
        <w:t>trategia oparta na niskiej podstawie i „dokręcaniu” wyniku nadgodzinami może okazać się niewystarczająca dla wykwalifikowanej kadry. Operatorzy oczekują, że ich umiejętności będą docenione w stałej pensji. Jeśli różnica w podstawie między nimi a pracownikami niewykwalifikowanymi pozostanie na poziomie „symbolicznej złotówki”, firmy ryzykują utratę kluczowych specjalistów na rzecz regionów lub pracodawców oferujących bardziej stabilną strukturę płac.</w:t>
      </w: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 xml:space="preserve">O </w:t>
      </w:r>
      <w:proofErr w:type="spellStart"/>
      <w:r w:rsidRPr="007E6CDD">
        <w:rPr>
          <w:b/>
          <w:sz w:val="16"/>
          <w:szCs w:val="16"/>
        </w:rPr>
        <w:t>Cushman</w:t>
      </w:r>
      <w:proofErr w:type="spellEnd"/>
      <w:r w:rsidRPr="007E6CDD">
        <w:rPr>
          <w:b/>
          <w:sz w:val="16"/>
          <w:szCs w:val="16"/>
        </w:rPr>
        <w:t xml:space="preserve">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480FA2BC" w:rsidR="00AC62A5" w:rsidRPr="004170C0" w:rsidRDefault="00AC62A5" w:rsidP="00AC62A5">
      <w:pPr>
        <w:jc w:val="both"/>
        <w:rPr>
          <w:bCs/>
          <w:sz w:val="16"/>
          <w:szCs w:val="16"/>
        </w:rPr>
      </w:pP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</w:t>
      </w: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yperlink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  <w:r w:rsidR="002B26F4">
        <w:rPr>
          <w:bCs/>
          <w:sz w:val="16"/>
          <w:szCs w:val="16"/>
        </w:rPr>
        <w:t xml:space="preserve"> 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E6A0A" w14:textId="77777777" w:rsidR="001B3B58" w:rsidRDefault="001B3B58">
      <w:pPr>
        <w:spacing w:after="0" w:line="240" w:lineRule="auto"/>
      </w:pPr>
      <w:r>
        <w:separator/>
      </w:r>
    </w:p>
  </w:endnote>
  <w:endnote w:type="continuationSeparator" w:id="0">
    <w:p w14:paraId="67DB3D15" w14:textId="77777777" w:rsidR="001B3B58" w:rsidRDefault="001B3B58">
      <w:pPr>
        <w:spacing w:after="0" w:line="240" w:lineRule="auto"/>
      </w:pPr>
      <w:r>
        <w:continuationSeparator/>
      </w:r>
    </w:p>
  </w:endnote>
  <w:endnote w:type="continuationNotice" w:id="1">
    <w:p w14:paraId="3D137150" w14:textId="77777777" w:rsidR="001B3B58" w:rsidRDefault="001B3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845628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845628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845628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630A67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630A67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D5B36" w14:textId="77777777" w:rsidR="001B3B58" w:rsidRDefault="001B3B58">
      <w:pPr>
        <w:spacing w:after="0" w:line="240" w:lineRule="auto"/>
      </w:pPr>
      <w:r>
        <w:separator/>
      </w:r>
    </w:p>
  </w:footnote>
  <w:footnote w:type="continuationSeparator" w:id="0">
    <w:p w14:paraId="1B9387D0" w14:textId="77777777" w:rsidR="001B3B58" w:rsidRDefault="001B3B58">
      <w:pPr>
        <w:spacing w:after="0" w:line="240" w:lineRule="auto"/>
      </w:pPr>
      <w:r>
        <w:continuationSeparator/>
      </w:r>
    </w:p>
  </w:footnote>
  <w:footnote w:type="continuationNotice" w:id="1">
    <w:p w14:paraId="4BD122AD" w14:textId="77777777" w:rsidR="001B3B58" w:rsidRDefault="001B3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47D9"/>
    <w:multiLevelType w:val="hybridMultilevel"/>
    <w:tmpl w:val="0F6AB3AE"/>
    <w:lvl w:ilvl="0" w:tplc="A41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4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947FE"/>
    <w:multiLevelType w:val="hybridMultilevel"/>
    <w:tmpl w:val="41ACBDF0"/>
    <w:lvl w:ilvl="0" w:tplc="25EC3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07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A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E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0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A2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A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25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4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6FE6"/>
    <w:multiLevelType w:val="hybridMultilevel"/>
    <w:tmpl w:val="30769262"/>
    <w:lvl w:ilvl="0" w:tplc="4C4C5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5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6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5714CB"/>
    <w:multiLevelType w:val="hybridMultilevel"/>
    <w:tmpl w:val="BC8CC52E"/>
    <w:lvl w:ilvl="0" w:tplc="0F96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D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80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357CBE"/>
    <w:multiLevelType w:val="hybridMultilevel"/>
    <w:tmpl w:val="D198449E"/>
    <w:lvl w:ilvl="0" w:tplc="B2866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F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E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C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CE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5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9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0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C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21983"/>
    <w:multiLevelType w:val="hybridMultilevel"/>
    <w:tmpl w:val="C42C79CE"/>
    <w:lvl w:ilvl="0" w:tplc="2EB8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CE7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E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4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486118">
    <w:abstractNumId w:val="5"/>
  </w:num>
  <w:num w:numId="2" w16cid:durableId="1584223579">
    <w:abstractNumId w:val="0"/>
  </w:num>
  <w:num w:numId="3" w16cid:durableId="1290239065">
    <w:abstractNumId w:val="4"/>
  </w:num>
  <w:num w:numId="4" w16cid:durableId="1231691958">
    <w:abstractNumId w:val="1"/>
  </w:num>
  <w:num w:numId="5" w16cid:durableId="973288196">
    <w:abstractNumId w:val="3"/>
  </w:num>
  <w:num w:numId="6" w16cid:durableId="2132431071">
    <w:abstractNumId w:val="2"/>
  </w:num>
  <w:num w:numId="7" w16cid:durableId="1448236783">
    <w:abstractNumId w:val="8"/>
  </w:num>
  <w:num w:numId="8" w16cid:durableId="161311295">
    <w:abstractNumId w:val="6"/>
  </w:num>
  <w:num w:numId="9" w16cid:durableId="1062756424">
    <w:abstractNumId w:val="7"/>
  </w:num>
  <w:num w:numId="10" w16cid:durableId="1456021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5FD5"/>
    <w:rsid w:val="00007243"/>
    <w:rsid w:val="00012380"/>
    <w:rsid w:val="00013F59"/>
    <w:rsid w:val="00014ACA"/>
    <w:rsid w:val="000203A2"/>
    <w:rsid w:val="00022B42"/>
    <w:rsid w:val="000251E4"/>
    <w:rsid w:val="00025C81"/>
    <w:rsid w:val="00027F57"/>
    <w:rsid w:val="00030A48"/>
    <w:rsid w:val="0003245E"/>
    <w:rsid w:val="00040FBF"/>
    <w:rsid w:val="000423C3"/>
    <w:rsid w:val="00044C5B"/>
    <w:rsid w:val="000500D7"/>
    <w:rsid w:val="000666EE"/>
    <w:rsid w:val="00067FD0"/>
    <w:rsid w:val="000700E2"/>
    <w:rsid w:val="00071183"/>
    <w:rsid w:val="00071E14"/>
    <w:rsid w:val="000720F5"/>
    <w:rsid w:val="0008371E"/>
    <w:rsid w:val="00083F43"/>
    <w:rsid w:val="00086C80"/>
    <w:rsid w:val="0008772D"/>
    <w:rsid w:val="00092C27"/>
    <w:rsid w:val="00093540"/>
    <w:rsid w:val="000944C7"/>
    <w:rsid w:val="00096548"/>
    <w:rsid w:val="000A21C0"/>
    <w:rsid w:val="000A3B4C"/>
    <w:rsid w:val="000A54A7"/>
    <w:rsid w:val="000A622E"/>
    <w:rsid w:val="000B142D"/>
    <w:rsid w:val="000B29DE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E5D22"/>
    <w:rsid w:val="000E71D0"/>
    <w:rsid w:val="000F64E0"/>
    <w:rsid w:val="000F7964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347BD"/>
    <w:rsid w:val="00135130"/>
    <w:rsid w:val="00135B14"/>
    <w:rsid w:val="00140D8B"/>
    <w:rsid w:val="00144415"/>
    <w:rsid w:val="00150F3F"/>
    <w:rsid w:val="00156C9B"/>
    <w:rsid w:val="00156F9C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2D8E"/>
    <w:rsid w:val="00185967"/>
    <w:rsid w:val="0018688B"/>
    <w:rsid w:val="00190FB3"/>
    <w:rsid w:val="001A4929"/>
    <w:rsid w:val="001A4BAD"/>
    <w:rsid w:val="001A56D9"/>
    <w:rsid w:val="001B3B58"/>
    <w:rsid w:val="001B5F5F"/>
    <w:rsid w:val="001B5FA0"/>
    <w:rsid w:val="001B7AE3"/>
    <w:rsid w:val="001C0591"/>
    <w:rsid w:val="001C2940"/>
    <w:rsid w:val="001C58F1"/>
    <w:rsid w:val="001C7005"/>
    <w:rsid w:val="001C75FB"/>
    <w:rsid w:val="001D08F3"/>
    <w:rsid w:val="001D25D1"/>
    <w:rsid w:val="001D401E"/>
    <w:rsid w:val="001D7B3D"/>
    <w:rsid w:val="001E06FB"/>
    <w:rsid w:val="001E0E42"/>
    <w:rsid w:val="001E16E8"/>
    <w:rsid w:val="001E3C79"/>
    <w:rsid w:val="001E4E45"/>
    <w:rsid w:val="001E56EB"/>
    <w:rsid w:val="001E5B77"/>
    <w:rsid w:val="001E6B3B"/>
    <w:rsid w:val="001F406E"/>
    <w:rsid w:val="001F7E37"/>
    <w:rsid w:val="00204C52"/>
    <w:rsid w:val="00206001"/>
    <w:rsid w:val="002117B9"/>
    <w:rsid w:val="002125FE"/>
    <w:rsid w:val="00212E0F"/>
    <w:rsid w:val="002146EE"/>
    <w:rsid w:val="00217BD6"/>
    <w:rsid w:val="002240B1"/>
    <w:rsid w:val="00236B04"/>
    <w:rsid w:val="002426EF"/>
    <w:rsid w:val="0024400C"/>
    <w:rsid w:val="00246029"/>
    <w:rsid w:val="00246115"/>
    <w:rsid w:val="00251824"/>
    <w:rsid w:val="00251F00"/>
    <w:rsid w:val="002520C3"/>
    <w:rsid w:val="00252DCA"/>
    <w:rsid w:val="00254581"/>
    <w:rsid w:val="002567A2"/>
    <w:rsid w:val="00257ED3"/>
    <w:rsid w:val="0026004F"/>
    <w:rsid w:val="00260C7D"/>
    <w:rsid w:val="00261AA0"/>
    <w:rsid w:val="00261FD7"/>
    <w:rsid w:val="002621CA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3086"/>
    <w:rsid w:val="00293E07"/>
    <w:rsid w:val="00293ED2"/>
    <w:rsid w:val="002958EB"/>
    <w:rsid w:val="0029652C"/>
    <w:rsid w:val="002967FF"/>
    <w:rsid w:val="002A197E"/>
    <w:rsid w:val="002A23B6"/>
    <w:rsid w:val="002A29BF"/>
    <w:rsid w:val="002A37FC"/>
    <w:rsid w:val="002A43B7"/>
    <w:rsid w:val="002B26F4"/>
    <w:rsid w:val="002B381B"/>
    <w:rsid w:val="002B461F"/>
    <w:rsid w:val="002B4716"/>
    <w:rsid w:val="002B4A31"/>
    <w:rsid w:val="002B6B39"/>
    <w:rsid w:val="002C06D5"/>
    <w:rsid w:val="002C1DFF"/>
    <w:rsid w:val="002C2E57"/>
    <w:rsid w:val="002C480C"/>
    <w:rsid w:val="002C5887"/>
    <w:rsid w:val="002D0B42"/>
    <w:rsid w:val="002D4EC6"/>
    <w:rsid w:val="002D5829"/>
    <w:rsid w:val="002D7779"/>
    <w:rsid w:val="002E0BB0"/>
    <w:rsid w:val="002E1729"/>
    <w:rsid w:val="002E2604"/>
    <w:rsid w:val="002E2D30"/>
    <w:rsid w:val="002E6FC9"/>
    <w:rsid w:val="002E7D77"/>
    <w:rsid w:val="002E7F16"/>
    <w:rsid w:val="002F0666"/>
    <w:rsid w:val="002F08E1"/>
    <w:rsid w:val="002F0F48"/>
    <w:rsid w:val="002F447F"/>
    <w:rsid w:val="00300BC4"/>
    <w:rsid w:val="003018B3"/>
    <w:rsid w:val="00302886"/>
    <w:rsid w:val="0030524A"/>
    <w:rsid w:val="00306BFA"/>
    <w:rsid w:val="00310D2A"/>
    <w:rsid w:val="003154DC"/>
    <w:rsid w:val="003173B5"/>
    <w:rsid w:val="0032157F"/>
    <w:rsid w:val="0032389F"/>
    <w:rsid w:val="0034418D"/>
    <w:rsid w:val="00345D04"/>
    <w:rsid w:val="00345D09"/>
    <w:rsid w:val="0035396B"/>
    <w:rsid w:val="00364117"/>
    <w:rsid w:val="00371AFD"/>
    <w:rsid w:val="00374DB8"/>
    <w:rsid w:val="00385CB8"/>
    <w:rsid w:val="0038604F"/>
    <w:rsid w:val="00387155"/>
    <w:rsid w:val="00387CAF"/>
    <w:rsid w:val="003936DF"/>
    <w:rsid w:val="003A24D4"/>
    <w:rsid w:val="003A693E"/>
    <w:rsid w:val="003A70E2"/>
    <w:rsid w:val="003B2048"/>
    <w:rsid w:val="003B34EB"/>
    <w:rsid w:val="003B3560"/>
    <w:rsid w:val="003B78C7"/>
    <w:rsid w:val="003C098F"/>
    <w:rsid w:val="003C0E8F"/>
    <w:rsid w:val="003C1BBA"/>
    <w:rsid w:val="003C1E58"/>
    <w:rsid w:val="003C360C"/>
    <w:rsid w:val="003C5B29"/>
    <w:rsid w:val="003C791A"/>
    <w:rsid w:val="003D7A6C"/>
    <w:rsid w:val="003E003A"/>
    <w:rsid w:val="003E0201"/>
    <w:rsid w:val="003E3F99"/>
    <w:rsid w:val="003E406F"/>
    <w:rsid w:val="003E56B1"/>
    <w:rsid w:val="003F4AAD"/>
    <w:rsid w:val="003F60EA"/>
    <w:rsid w:val="004001BC"/>
    <w:rsid w:val="00403626"/>
    <w:rsid w:val="00410D62"/>
    <w:rsid w:val="004112C0"/>
    <w:rsid w:val="00416432"/>
    <w:rsid w:val="0042183C"/>
    <w:rsid w:val="004218A2"/>
    <w:rsid w:val="0042255F"/>
    <w:rsid w:val="00430F94"/>
    <w:rsid w:val="004329C4"/>
    <w:rsid w:val="00432ACA"/>
    <w:rsid w:val="00433DA4"/>
    <w:rsid w:val="004375A1"/>
    <w:rsid w:val="0043767F"/>
    <w:rsid w:val="00440D65"/>
    <w:rsid w:val="00441803"/>
    <w:rsid w:val="00443EFE"/>
    <w:rsid w:val="00450389"/>
    <w:rsid w:val="00451C25"/>
    <w:rsid w:val="00452FD6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86394"/>
    <w:rsid w:val="004900F3"/>
    <w:rsid w:val="00490581"/>
    <w:rsid w:val="00491EA1"/>
    <w:rsid w:val="0049367E"/>
    <w:rsid w:val="00497908"/>
    <w:rsid w:val="00497F07"/>
    <w:rsid w:val="004A01E8"/>
    <w:rsid w:val="004A5B66"/>
    <w:rsid w:val="004B0979"/>
    <w:rsid w:val="004B3D1A"/>
    <w:rsid w:val="004B5A43"/>
    <w:rsid w:val="004B6DD9"/>
    <w:rsid w:val="004C2C37"/>
    <w:rsid w:val="004D07CC"/>
    <w:rsid w:val="004D14A3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3E34"/>
    <w:rsid w:val="004F64D6"/>
    <w:rsid w:val="00502E72"/>
    <w:rsid w:val="0050412F"/>
    <w:rsid w:val="00512047"/>
    <w:rsid w:val="00512ADF"/>
    <w:rsid w:val="0051329D"/>
    <w:rsid w:val="005133A6"/>
    <w:rsid w:val="005136A0"/>
    <w:rsid w:val="0051644B"/>
    <w:rsid w:val="00517B59"/>
    <w:rsid w:val="00520076"/>
    <w:rsid w:val="005229AB"/>
    <w:rsid w:val="00531CF4"/>
    <w:rsid w:val="00531D93"/>
    <w:rsid w:val="005323BE"/>
    <w:rsid w:val="005323FD"/>
    <w:rsid w:val="005352C0"/>
    <w:rsid w:val="005369D7"/>
    <w:rsid w:val="00537747"/>
    <w:rsid w:val="00541459"/>
    <w:rsid w:val="00541512"/>
    <w:rsid w:val="00541D5B"/>
    <w:rsid w:val="00544264"/>
    <w:rsid w:val="00552477"/>
    <w:rsid w:val="00552FCF"/>
    <w:rsid w:val="00553AB6"/>
    <w:rsid w:val="0055434C"/>
    <w:rsid w:val="00561829"/>
    <w:rsid w:val="005631C3"/>
    <w:rsid w:val="0056426D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4D77"/>
    <w:rsid w:val="005B7FD9"/>
    <w:rsid w:val="005C01D2"/>
    <w:rsid w:val="005C2765"/>
    <w:rsid w:val="005C3C3C"/>
    <w:rsid w:val="005C4360"/>
    <w:rsid w:val="005C6332"/>
    <w:rsid w:val="005C6C24"/>
    <w:rsid w:val="005C72CD"/>
    <w:rsid w:val="005C7D27"/>
    <w:rsid w:val="005D02A0"/>
    <w:rsid w:val="005D05E5"/>
    <w:rsid w:val="005D06CC"/>
    <w:rsid w:val="005D3204"/>
    <w:rsid w:val="005D4DD1"/>
    <w:rsid w:val="005D5A9A"/>
    <w:rsid w:val="005D5EEB"/>
    <w:rsid w:val="005E0A93"/>
    <w:rsid w:val="005E2C9B"/>
    <w:rsid w:val="005E2EC7"/>
    <w:rsid w:val="005E36C1"/>
    <w:rsid w:val="005E4315"/>
    <w:rsid w:val="005E49BA"/>
    <w:rsid w:val="005F0297"/>
    <w:rsid w:val="005F6BFB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913"/>
    <w:rsid w:val="00625DBC"/>
    <w:rsid w:val="00626706"/>
    <w:rsid w:val="00627867"/>
    <w:rsid w:val="00630A67"/>
    <w:rsid w:val="00634853"/>
    <w:rsid w:val="00634A82"/>
    <w:rsid w:val="00635784"/>
    <w:rsid w:val="006367C0"/>
    <w:rsid w:val="00647BF0"/>
    <w:rsid w:val="00654588"/>
    <w:rsid w:val="00655594"/>
    <w:rsid w:val="00657885"/>
    <w:rsid w:val="00661892"/>
    <w:rsid w:val="00662194"/>
    <w:rsid w:val="00670CB1"/>
    <w:rsid w:val="006714A0"/>
    <w:rsid w:val="00674476"/>
    <w:rsid w:val="0067480E"/>
    <w:rsid w:val="00674AAF"/>
    <w:rsid w:val="00675B1B"/>
    <w:rsid w:val="0067607F"/>
    <w:rsid w:val="00680087"/>
    <w:rsid w:val="006807CC"/>
    <w:rsid w:val="00681940"/>
    <w:rsid w:val="00682152"/>
    <w:rsid w:val="00682F1F"/>
    <w:rsid w:val="00683345"/>
    <w:rsid w:val="0068616F"/>
    <w:rsid w:val="00686CF4"/>
    <w:rsid w:val="00686FDB"/>
    <w:rsid w:val="0069258A"/>
    <w:rsid w:val="00695E5E"/>
    <w:rsid w:val="006A32B9"/>
    <w:rsid w:val="006A3351"/>
    <w:rsid w:val="006B114D"/>
    <w:rsid w:val="006B3391"/>
    <w:rsid w:val="006B635B"/>
    <w:rsid w:val="006B6EBE"/>
    <w:rsid w:val="006C3D4A"/>
    <w:rsid w:val="006C449A"/>
    <w:rsid w:val="006C62BD"/>
    <w:rsid w:val="006D189F"/>
    <w:rsid w:val="006D1A87"/>
    <w:rsid w:val="006D1EF1"/>
    <w:rsid w:val="006D54C5"/>
    <w:rsid w:val="006D68E0"/>
    <w:rsid w:val="006E2861"/>
    <w:rsid w:val="006E2DCD"/>
    <w:rsid w:val="006E5816"/>
    <w:rsid w:val="006F06A0"/>
    <w:rsid w:val="007014E6"/>
    <w:rsid w:val="00703171"/>
    <w:rsid w:val="00706617"/>
    <w:rsid w:val="00706A7F"/>
    <w:rsid w:val="00710F25"/>
    <w:rsid w:val="00711D86"/>
    <w:rsid w:val="00712689"/>
    <w:rsid w:val="00717324"/>
    <w:rsid w:val="00717C28"/>
    <w:rsid w:val="00725E13"/>
    <w:rsid w:val="007326D4"/>
    <w:rsid w:val="00736585"/>
    <w:rsid w:val="00742036"/>
    <w:rsid w:val="007434AC"/>
    <w:rsid w:val="00743878"/>
    <w:rsid w:val="00747126"/>
    <w:rsid w:val="0075095C"/>
    <w:rsid w:val="00751E88"/>
    <w:rsid w:val="00753387"/>
    <w:rsid w:val="00754C88"/>
    <w:rsid w:val="00757A3F"/>
    <w:rsid w:val="0076279C"/>
    <w:rsid w:val="007640FE"/>
    <w:rsid w:val="00765472"/>
    <w:rsid w:val="00765998"/>
    <w:rsid w:val="00770B4C"/>
    <w:rsid w:val="00771251"/>
    <w:rsid w:val="007726CC"/>
    <w:rsid w:val="00773AAB"/>
    <w:rsid w:val="00775DEF"/>
    <w:rsid w:val="00775E16"/>
    <w:rsid w:val="00781238"/>
    <w:rsid w:val="00781D70"/>
    <w:rsid w:val="00782A9B"/>
    <w:rsid w:val="00785D12"/>
    <w:rsid w:val="00787564"/>
    <w:rsid w:val="00790531"/>
    <w:rsid w:val="00790E9B"/>
    <w:rsid w:val="0079250E"/>
    <w:rsid w:val="00792ECE"/>
    <w:rsid w:val="00792F37"/>
    <w:rsid w:val="007A354E"/>
    <w:rsid w:val="007A6472"/>
    <w:rsid w:val="007A6E6F"/>
    <w:rsid w:val="007B027D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04B4"/>
    <w:rsid w:val="007E0A4B"/>
    <w:rsid w:val="007E6493"/>
    <w:rsid w:val="007E6CDD"/>
    <w:rsid w:val="007F13AB"/>
    <w:rsid w:val="007F2FE9"/>
    <w:rsid w:val="007F5890"/>
    <w:rsid w:val="007F7F38"/>
    <w:rsid w:val="008014DA"/>
    <w:rsid w:val="00802ECA"/>
    <w:rsid w:val="0081370C"/>
    <w:rsid w:val="0081778B"/>
    <w:rsid w:val="0082036C"/>
    <w:rsid w:val="00821380"/>
    <w:rsid w:val="00824654"/>
    <w:rsid w:val="00824D18"/>
    <w:rsid w:val="0083179A"/>
    <w:rsid w:val="00831B7D"/>
    <w:rsid w:val="00842064"/>
    <w:rsid w:val="00842687"/>
    <w:rsid w:val="0084290C"/>
    <w:rsid w:val="00843BB8"/>
    <w:rsid w:val="00845628"/>
    <w:rsid w:val="00851DD8"/>
    <w:rsid w:val="0085202E"/>
    <w:rsid w:val="00856BE4"/>
    <w:rsid w:val="00863E32"/>
    <w:rsid w:val="00865458"/>
    <w:rsid w:val="00866DDD"/>
    <w:rsid w:val="008716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4D78"/>
    <w:rsid w:val="00885E0C"/>
    <w:rsid w:val="00892DCD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390B"/>
    <w:rsid w:val="008C42CD"/>
    <w:rsid w:val="008C4F0F"/>
    <w:rsid w:val="008C5675"/>
    <w:rsid w:val="008C6651"/>
    <w:rsid w:val="008D009F"/>
    <w:rsid w:val="008D4FB5"/>
    <w:rsid w:val="008D5FE1"/>
    <w:rsid w:val="008E34FB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05A21"/>
    <w:rsid w:val="00907DC6"/>
    <w:rsid w:val="00911FF4"/>
    <w:rsid w:val="00914465"/>
    <w:rsid w:val="00915181"/>
    <w:rsid w:val="0091568D"/>
    <w:rsid w:val="00915FA0"/>
    <w:rsid w:val="0091784B"/>
    <w:rsid w:val="00920635"/>
    <w:rsid w:val="00920BE7"/>
    <w:rsid w:val="00921FC7"/>
    <w:rsid w:val="00927365"/>
    <w:rsid w:val="009322DC"/>
    <w:rsid w:val="00935219"/>
    <w:rsid w:val="00941B66"/>
    <w:rsid w:val="00941EB9"/>
    <w:rsid w:val="00943336"/>
    <w:rsid w:val="00945854"/>
    <w:rsid w:val="00946C47"/>
    <w:rsid w:val="009522F7"/>
    <w:rsid w:val="00953475"/>
    <w:rsid w:val="00956547"/>
    <w:rsid w:val="00957D0D"/>
    <w:rsid w:val="00962A05"/>
    <w:rsid w:val="00965609"/>
    <w:rsid w:val="0096608A"/>
    <w:rsid w:val="0096799A"/>
    <w:rsid w:val="00967B91"/>
    <w:rsid w:val="00971AF5"/>
    <w:rsid w:val="0097409A"/>
    <w:rsid w:val="00976C95"/>
    <w:rsid w:val="00977641"/>
    <w:rsid w:val="00977AE0"/>
    <w:rsid w:val="0098288E"/>
    <w:rsid w:val="00983E80"/>
    <w:rsid w:val="00984736"/>
    <w:rsid w:val="00987E9D"/>
    <w:rsid w:val="009902A1"/>
    <w:rsid w:val="00993D91"/>
    <w:rsid w:val="00994AF6"/>
    <w:rsid w:val="00997139"/>
    <w:rsid w:val="009A1D96"/>
    <w:rsid w:val="009A57CA"/>
    <w:rsid w:val="009A7442"/>
    <w:rsid w:val="009B0753"/>
    <w:rsid w:val="009B11D8"/>
    <w:rsid w:val="009B7F16"/>
    <w:rsid w:val="009C075D"/>
    <w:rsid w:val="009C5621"/>
    <w:rsid w:val="009C7E68"/>
    <w:rsid w:val="009C7F14"/>
    <w:rsid w:val="009D025D"/>
    <w:rsid w:val="009D233E"/>
    <w:rsid w:val="009D31EC"/>
    <w:rsid w:val="009D56B4"/>
    <w:rsid w:val="009E408E"/>
    <w:rsid w:val="009E4572"/>
    <w:rsid w:val="009E7575"/>
    <w:rsid w:val="009F15E7"/>
    <w:rsid w:val="009F196F"/>
    <w:rsid w:val="009F274E"/>
    <w:rsid w:val="009F35CD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54"/>
    <w:rsid w:val="00A27372"/>
    <w:rsid w:val="00A31C14"/>
    <w:rsid w:val="00A31F0C"/>
    <w:rsid w:val="00A33E4A"/>
    <w:rsid w:val="00A344ED"/>
    <w:rsid w:val="00A425AB"/>
    <w:rsid w:val="00A4481B"/>
    <w:rsid w:val="00A44A37"/>
    <w:rsid w:val="00A46E16"/>
    <w:rsid w:val="00A47FCD"/>
    <w:rsid w:val="00A514A1"/>
    <w:rsid w:val="00A54E85"/>
    <w:rsid w:val="00A54FA6"/>
    <w:rsid w:val="00A55BAF"/>
    <w:rsid w:val="00A63543"/>
    <w:rsid w:val="00A66644"/>
    <w:rsid w:val="00A714B6"/>
    <w:rsid w:val="00A73BB9"/>
    <w:rsid w:val="00A74CD5"/>
    <w:rsid w:val="00A74D49"/>
    <w:rsid w:val="00A758B5"/>
    <w:rsid w:val="00A77A0A"/>
    <w:rsid w:val="00A840D5"/>
    <w:rsid w:val="00A91E08"/>
    <w:rsid w:val="00A93515"/>
    <w:rsid w:val="00A959F1"/>
    <w:rsid w:val="00A9656B"/>
    <w:rsid w:val="00A97129"/>
    <w:rsid w:val="00A97D53"/>
    <w:rsid w:val="00AA15B2"/>
    <w:rsid w:val="00AA2003"/>
    <w:rsid w:val="00AA3E59"/>
    <w:rsid w:val="00AA671F"/>
    <w:rsid w:val="00AA6739"/>
    <w:rsid w:val="00AA69D2"/>
    <w:rsid w:val="00AB1473"/>
    <w:rsid w:val="00AB6253"/>
    <w:rsid w:val="00AB6698"/>
    <w:rsid w:val="00AB6E9C"/>
    <w:rsid w:val="00AB7DB1"/>
    <w:rsid w:val="00AC2A87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F07B6"/>
    <w:rsid w:val="00AF11EE"/>
    <w:rsid w:val="00AF254B"/>
    <w:rsid w:val="00AF3577"/>
    <w:rsid w:val="00AF6B27"/>
    <w:rsid w:val="00AF7FAE"/>
    <w:rsid w:val="00B01460"/>
    <w:rsid w:val="00B0179B"/>
    <w:rsid w:val="00B022DB"/>
    <w:rsid w:val="00B02DB5"/>
    <w:rsid w:val="00B04B1D"/>
    <w:rsid w:val="00B077A8"/>
    <w:rsid w:val="00B12037"/>
    <w:rsid w:val="00B133BB"/>
    <w:rsid w:val="00B1434B"/>
    <w:rsid w:val="00B14FED"/>
    <w:rsid w:val="00B15D9B"/>
    <w:rsid w:val="00B15EE3"/>
    <w:rsid w:val="00B2047D"/>
    <w:rsid w:val="00B22689"/>
    <w:rsid w:val="00B26C07"/>
    <w:rsid w:val="00B27B61"/>
    <w:rsid w:val="00B3629E"/>
    <w:rsid w:val="00B37EEB"/>
    <w:rsid w:val="00B40989"/>
    <w:rsid w:val="00B44499"/>
    <w:rsid w:val="00B4722F"/>
    <w:rsid w:val="00B53CF6"/>
    <w:rsid w:val="00B57D96"/>
    <w:rsid w:val="00B60C5B"/>
    <w:rsid w:val="00B60EBB"/>
    <w:rsid w:val="00B62B94"/>
    <w:rsid w:val="00B62C50"/>
    <w:rsid w:val="00B6594B"/>
    <w:rsid w:val="00B6706E"/>
    <w:rsid w:val="00B70FF6"/>
    <w:rsid w:val="00B77D91"/>
    <w:rsid w:val="00B807B3"/>
    <w:rsid w:val="00B807FC"/>
    <w:rsid w:val="00B812E5"/>
    <w:rsid w:val="00B834FC"/>
    <w:rsid w:val="00B83758"/>
    <w:rsid w:val="00B85996"/>
    <w:rsid w:val="00B86C86"/>
    <w:rsid w:val="00B91170"/>
    <w:rsid w:val="00B930BE"/>
    <w:rsid w:val="00B95B93"/>
    <w:rsid w:val="00B970B4"/>
    <w:rsid w:val="00BB5E4C"/>
    <w:rsid w:val="00BC1E2F"/>
    <w:rsid w:val="00BC2537"/>
    <w:rsid w:val="00BC40B8"/>
    <w:rsid w:val="00BD1331"/>
    <w:rsid w:val="00BD14D7"/>
    <w:rsid w:val="00BD2944"/>
    <w:rsid w:val="00BD306F"/>
    <w:rsid w:val="00BD36A0"/>
    <w:rsid w:val="00BE0588"/>
    <w:rsid w:val="00BE1BE1"/>
    <w:rsid w:val="00BE2833"/>
    <w:rsid w:val="00BE3533"/>
    <w:rsid w:val="00BE4E4B"/>
    <w:rsid w:val="00BE65D4"/>
    <w:rsid w:val="00BE7960"/>
    <w:rsid w:val="00BE7EEB"/>
    <w:rsid w:val="00BF1FC1"/>
    <w:rsid w:val="00BF4150"/>
    <w:rsid w:val="00C01F9F"/>
    <w:rsid w:val="00C02E1C"/>
    <w:rsid w:val="00C0604F"/>
    <w:rsid w:val="00C06706"/>
    <w:rsid w:val="00C073DC"/>
    <w:rsid w:val="00C11029"/>
    <w:rsid w:val="00C11181"/>
    <w:rsid w:val="00C12505"/>
    <w:rsid w:val="00C166DD"/>
    <w:rsid w:val="00C21975"/>
    <w:rsid w:val="00C22606"/>
    <w:rsid w:val="00C238C5"/>
    <w:rsid w:val="00C247D4"/>
    <w:rsid w:val="00C25A58"/>
    <w:rsid w:val="00C303DB"/>
    <w:rsid w:val="00C308E0"/>
    <w:rsid w:val="00C31642"/>
    <w:rsid w:val="00C33DDD"/>
    <w:rsid w:val="00C40209"/>
    <w:rsid w:val="00C44C77"/>
    <w:rsid w:val="00C45FBA"/>
    <w:rsid w:val="00C473D1"/>
    <w:rsid w:val="00C50CBE"/>
    <w:rsid w:val="00C51ECC"/>
    <w:rsid w:val="00C54EBE"/>
    <w:rsid w:val="00C566FF"/>
    <w:rsid w:val="00C57B80"/>
    <w:rsid w:val="00C61185"/>
    <w:rsid w:val="00C64292"/>
    <w:rsid w:val="00C679F5"/>
    <w:rsid w:val="00C75D9E"/>
    <w:rsid w:val="00C80B91"/>
    <w:rsid w:val="00C8288B"/>
    <w:rsid w:val="00C84B50"/>
    <w:rsid w:val="00C85469"/>
    <w:rsid w:val="00C859F9"/>
    <w:rsid w:val="00C86FFA"/>
    <w:rsid w:val="00C92A7E"/>
    <w:rsid w:val="00C933B4"/>
    <w:rsid w:val="00C93DDE"/>
    <w:rsid w:val="00C97825"/>
    <w:rsid w:val="00C979E0"/>
    <w:rsid w:val="00CA19DF"/>
    <w:rsid w:val="00CA4389"/>
    <w:rsid w:val="00CB2FB2"/>
    <w:rsid w:val="00CB3CE8"/>
    <w:rsid w:val="00CB7946"/>
    <w:rsid w:val="00CB7A18"/>
    <w:rsid w:val="00CC13BB"/>
    <w:rsid w:val="00CC60E7"/>
    <w:rsid w:val="00CC7487"/>
    <w:rsid w:val="00CD1D6B"/>
    <w:rsid w:val="00CD34FC"/>
    <w:rsid w:val="00CD4A7A"/>
    <w:rsid w:val="00CD706B"/>
    <w:rsid w:val="00CE1EF8"/>
    <w:rsid w:val="00CE213B"/>
    <w:rsid w:val="00CE5F49"/>
    <w:rsid w:val="00CF0AA6"/>
    <w:rsid w:val="00CF1382"/>
    <w:rsid w:val="00CF59BB"/>
    <w:rsid w:val="00CF5A2C"/>
    <w:rsid w:val="00CF6633"/>
    <w:rsid w:val="00CF6A7C"/>
    <w:rsid w:val="00D03481"/>
    <w:rsid w:val="00D03E2A"/>
    <w:rsid w:val="00D076D0"/>
    <w:rsid w:val="00D134B7"/>
    <w:rsid w:val="00D13894"/>
    <w:rsid w:val="00D20FAA"/>
    <w:rsid w:val="00D21D09"/>
    <w:rsid w:val="00D30573"/>
    <w:rsid w:val="00D318C2"/>
    <w:rsid w:val="00D34BAD"/>
    <w:rsid w:val="00D36A8C"/>
    <w:rsid w:val="00D428F4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0976"/>
    <w:rsid w:val="00D63173"/>
    <w:rsid w:val="00D63DA8"/>
    <w:rsid w:val="00D73A86"/>
    <w:rsid w:val="00D74B1F"/>
    <w:rsid w:val="00D74BA3"/>
    <w:rsid w:val="00D804D2"/>
    <w:rsid w:val="00D81E2F"/>
    <w:rsid w:val="00D83060"/>
    <w:rsid w:val="00D84A2D"/>
    <w:rsid w:val="00D87426"/>
    <w:rsid w:val="00D8749B"/>
    <w:rsid w:val="00DA4CF2"/>
    <w:rsid w:val="00DA73FE"/>
    <w:rsid w:val="00DB11D4"/>
    <w:rsid w:val="00DB227F"/>
    <w:rsid w:val="00DB61A6"/>
    <w:rsid w:val="00DC02B9"/>
    <w:rsid w:val="00DC3AC1"/>
    <w:rsid w:val="00DC4D4D"/>
    <w:rsid w:val="00DC5105"/>
    <w:rsid w:val="00DC79A4"/>
    <w:rsid w:val="00DD20D1"/>
    <w:rsid w:val="00DD51F8"/>
    <w:rsid w:val="00DD64C5"/>
    <w:rsid w:val="00DE14E2"/>
    <w:rsid w:val="00DE14F9"/>
    <w:rsid w:val="00DE15AC"/>
    <w:rsid w:val="00DE2C36"/>
    <w:rsid w:val="00DE2F94"/>
    <w:rsid w:val="00DE3500"/>
    <w:rsid w:val="00DE4430"/>
    <w:rsid w:val="00DE4595"/>
    <w:rsid w:val="00DE6B35"/>
    <w:rsid w:val="00DE70C2"/>
    <w:rsid w:val="00DF0675"/>
    <w:rsid w:val="00DF4FE6"/>
    <w:rsid w:val="00DF580D"/>
    <w:rsid w:val="00DF6FDA"/>
    <w:rsid w:val="00DF7E2B"/>
    <w:rsid w:val="00E0414E"/>
    <w:rsid w:val="00E05885"/>
    <w:rsid w:val="00E05F40"/>
    <w:rsid w:val="00E06BC9"/>
    <w:rsid w:val="00E10BFB"/>
    <w:rsid w:val="00E10F15"/>
    <w:rsid w:val="00E1249A"/>
    <w:rsid w:val="00E12880"/>
    <w:rsid w:val="00E14D9E"/>
    <w:rsid w:val="00E16DA6"/>
    <w:rsid w:val="00E20799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50D24"/>
    <w:rsid w:val="00E510C4"/>
    <w:rsid w:val="00E530B7"/>
    <w:rsid w:val="00E5347D"/>
    <w:rsid w:val="00E54066"/>
    <w:rsid w:val="00E57168"/>
    <w:rsid w:val="00E611A2"/>
    <w:rsid w:val="00E61BAB"/>
    <w:rsid w:val="00E61C6F"/>
    <w:rsid w:val="00E71C72"/>
    <w:rsid w:val="00E729CB"/>
    <w:rsid w:val="00E73C50"/>
    <w:rsid w:val="00E777C8"/>
    <w:rsid w:val="00E8011B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300"/>
    <w:rsid w:val="00E93BB0"/>
    <w:rsid w:val="00EA27C3"/>
    <w:rsid w:val="00EA2BEE"/>
    <w:rsid w:val="00EA370F"/>
    <w:rsid w:val="00EA440F"/>
    <w:rsid w:val="00EA5F36"/>
    <w:rsid w:val="00EA7A70"/>
    <w:rsid w:val="00EB02CA"/>
    <w:rsid w:val="00EB15F9"/>
    <w:rsid w:val="00EB2AAE"/>
    <w:rsid w:val="00EB57CA"/>
    <w:rsid w:val="00EB606F"/>
    <w:rsid w:val="00EB6317"/>
    <w:rsid w:val="00EB6D45"/>
    <w:rsid w:val="00EC07F6"/>
    <w:rsid w:val="00EC07FA"/>
    <w:rsid w:val="00EC5B03"/>
    <w:rsid w:val="00ED5E20"/>
    <w:rsid w:val="00ED7B42"/>
    <w:rsid w:val="00ED7B80"/>
    <w:rsid w:val="00EE087B"/>
    <w:rsid w:val="00EE094E"/>
    <w:rsid w:val="00EE0CC2"/>
    <w:rsid w:val="00EE18F8"/>
    <w:rsid w:val="00EE1DDC"/>
    <w:rsid w:val="00EE31D9"/>
    <w:rsid w:val="00EE47A2"/>
    <w:rsid w:val="00EF0C53"/>
    <w:rsid w:val="00EF2D32"/>
    <w:rsid w:val="00EF3487"/>
    <w:rsid w:val="00EF368A"/>
    <w:rsid w:val="00EF4FE0"/>
    <w:rsid w:val="00EF6F9D"/>
    <w:rsid w:val="00EF7495"/>
    <w:rsid w:val="00F038F0"/>
    <w:rsid w:val="00F04E2C"/>
    <w:rsid w:val="00F06CE8"/>
    <w:rsid w:val="00F0783D"/>
    <w:rsid w:val="00F116F8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5691"/>
    <w:rsid w:val="00F55B87"/>
    <w:rsid w:val="00F6361F"/>
    <w:rsid w:val="00F65724"/>
    <w:rsid w:val="00F66561"/>
    <w:rsid w:val="00F71390"/>
    <w:rsid w:val="00F72F62"/>
    <w:rsid w:val="00F73E1F"/>
    <w:rsid w:val="00F75F73"/>
    <w:rsid w:val="00F77059"/>
    <w:rsid w:val="00F77459"/>
    <w:rsid w:val="00F809EE"/>
    <w:rsid w:val="00F844E6"/>
    <w:rsid w:val="00F849DE"/>
    <w:rsid w:val="00F84BE4"/>
    <w:rsid w:val="00F865A3"/>
    <w:rsid w:val="00F909DB"/>
    <w:rsid w:val="00F9314E"/>
    <w:rsid w:val="00F9432D"/>
    <w:rsid w:val="00F9475F"/>
    <w:rsid w:val="00F951BA"/>
    <w:rsid w:val="00F955FB"/>
    <w:rsid w:val="00F97B34"/>
    <w:rsid w:val="00FA2244"/>
    <w:rsid w:val="00FA2531"/>
    <w:rsid w:val="00FA424D"/>
    <w:rsid w:val="00FA4C1B"/>
    <w:rsid w:val="00FA5355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D01DC"/>
    <w:rsid w:val="00FD01E1"/>
    <w:rsid w:val="00FD13B2"/>
    <w:rsid w:val="00FD4DFC"/>
    <w:rsid w:val="00FD5981"/>
    <w:rsid w:val="00FD60F6"/>
    <w:rsid w:val="00FD6173"/>
    <w:rsid w:val="00FE0A40"/>
    <w:rsid w:val="00FE3132"/>
    <w:rsid w:val="00FE47F2"/>
    <w:rsid w:val="00FE64F7"/>
    <w:rsid w:val="00FE6C0D"/>
    <w:rsid w:val="00FF10DD"/>
    <w:rsid w:val="00FF3240"/>
    <w:rsid w:val="00FF3B3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151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06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88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4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8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3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D8228-3A9C-4322-9E48-34414864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22</cp:revision>
  <dcterms:created xsi:type="dcterms:W3CDTF">2026-02-16T08:08:00Z</dcterms:created>
  <dcterms:modified xsi:type="dcterms:W3CDTF">2026-02-17T10:45:00Z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