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E2AE" w14:textId="77777777" w:rsidR="005567F3" w:rsidRPr="00C13A5E" w:rsidRDefault="005567F3" w:rsidP="00F622EC">
      <w:pPr>
        <w:jc w:val="center"/>
        <w:rPr>
          <w:rFonts w:ascii="Aptos" w:hAnsi="Aptos"/>
          <w:b/>
          <w:bCs/>
          <w:sz w:val="28"/>
          <w:szCs w:val="28"/>
        </w:rPr>
      </w:pPr>
    </w:p>
    <w:p w14:paraId="08F406EB" w14:textId="79DC3975" w:rsidR="005567F3" w:rsidRPr="00E71F48" w:rsidRDefault="005567F3" w:rsidP="005567F3">
      <w:pPr>
        <w:rPr>
          <w:rFonts w:ascii="Aptos" w:hAnsi="Aptos" w:cstheme="minorHAnsi"/>
        </w:rPr>
      </w:pPr>
      <w:r w:rsidRPr="00E71F48">
        <w:rPr>
          <w:rFonts w:ascii="Aptos" w:hAnsi="Aptos" w:cstheme="minorHAnsi"/>
        </w:rPr>
        <w:t>INFORMACJA PRASOWA</w:t>
      </w:r>
    </w:p>
    <w:p w14:paraId="44719652" w14:textId="1E705F1A" w:rsidR="005567F3" w:rsidRPr="00E71F48" w:rsidRDefault="005567F3" w:rsidP="005567F3">
      <w:pPr>
        <w:jc w:val="right"/>
        <w:rPr>
          <w:rFonts w:ascii="Aptos" w:hAnsi="Aptos" w:cstheme="minorHAnsi"/>
        </w:rPr>
      </w:pPr>
      <w:r w:rsidRPr="00E71F48">
        <w:rPr>
          <w:rFonts w:ascii="Aptos" w:hAnsi="Aptos" w:cstheme="minorHAnsi"/>
        </w:rPr>
        <w:t xml:space="preserve">Warszawa, </w:t>
      </w:r>
      <w:r w:rsidR="009A09FF" w:rsidRPr="00E71F48">
        <w:rPr>
          <w:rFonts w:ascii="Aptos" w:hAnsi="Aptos" w:cstheme="minorHAnsi"/>
        </w:rPr>
        <w:t>1</w:t>
      </w:r>
      <w:r w:rsidR="00392F6A">
        <w:rPr>
          <w:rFonts w:ascii="Aptos" w:hAnsi="Aptos" w:cstheme="minorHAnsi"/>
        </w:rPr>
        <w:t>7</w:t>
      </w:r>
      <w:r w:rsidR="000567CD" w:rsidRPr="00E71F48">
        <w:rPr>
          <w:rFonts w:ascii="Aptos" w:hAnsi="Aptos" w:cstheme="minorHAnsi"/>
        </w:rPr>
        <w:t xml:space="preserve"> </w:t>
      </w:r>
      <w:r w:rsidR="006F1C6D" w:rsidRPr="00E71F48">
        <w:rPr>
          <w:rFonts w:ascii="Aptos" w:hAnsi="Aptos" w:cstheme="minorHAnsi"/>
        </w:rPr>
        <w:t>lutego</w:t>
      </w:r>
      <w:r w:rsidR="000567CD" w:rsidRPr="00E71F48">
        <w:rPr>
          <w:rFonts w:ascii="Aptos" w:hAnsi="Aptos" w:cstheme="minorHAnsi"/>
        </w:rPr>
        <w:t xml:space="preserve"> </w:t>
      </w:r>
      <w:r w:rsidR="002938C5" w:rsidRPr="00E71F48">
        <w:rPr>
          <w:rFonts w:ascii="Aptos" w:hAnsi="Aptos" w:cstheme="minorHAnsi"/>
        </w:rPr>
        <w:t>202</w:t>
      </w:r>
      <w:r w:rsidR="00392F6A">
        <w:rPr>
          <w:rFonts w:ascii="Aptos" w:hAnsi="Aptos" w:cstheme="minorHAnsi"/>
        </w:rPr>
        <w:t>6</w:t>
      </w:r>
      <w:r w:rsidR="002938C5" w:rsidRPr="00E71F48">
        <w:rPr>
          <w:rFonts w:ascii="Aptos" w:hAnsi="Aptos" w:cstheme="minorHAnsi"/>
        </w:rPr>
        <w:t xml:space="preserve"> r.</w:t>
      </w:r>
    </w:p>
    <w:p w14:paraId="1FF5349D" w14:textId="53C9F77D" w:rsidR="00D05DFE" w:rsidRPr="00E71F48" w:rsidRDefault="004F1990" w:rsidP="00AB398E">
      <w:pPr>
        <w:jc w:val="center"/>
        <w:rPr>
          <w:rFonts w:ascii="Aptos" w:hAnsi="Aptos" w:cstheme="minorHAnsi"/>
          <w:b/>
          <w:bCs/>
          <w:sz w:val="28"/>
          <w:szCs w:val="28"/>
        </w:rPr>
      </w:pPr>
      <w:r>
        <w:rPr>
          <w:rFonts w:ascii="Aptos" w:hAnsi="Aptos" w:cstheme="minorHAnsi"/>
          <w:b/>
          <w:sz w:val="28"/>
          <w:szCs w:val="28"/>
        </w:rPr>
        <w:t>Blisko 3</w:t>
      </w:r>
      <w:r w:rsidR="008A50EA">
        <w:rPr>
          <w:rFonts w:ascii="Aptos" w:hAnsi="Aptos" w:cstheme="minorHAnsi"/>
          <w:b/>
          <w:sz w:val="28"/>
          <w:szCs w:val="28"/>
        </w:rPr>
        <w:t xml:space="preserve"> mld t</w:t>
      </w:r>
      <w:r w:rsidR="006B3779">
        <w:rPr>
          <w:rFonts w:ascii="Aptos" w:hAnsi="Aptos" w:cstheme="minorHAnsi"/>
          <w:b/>
          <w:sz w:val="28"/>
          <w:szCs w:val="28"/>
        </w:rPr>
        <w:t>ransakcji</w:t>
      </w:r>
      <w:r w:rsidR="001358E4">
        <w:rPr>
          <w:rFonts w:ascii="Aptos" w:hAnsi="Aptos" w:cstheme="minorHAnsi"/>
          <w:b/>
          <w:sz w:val="28"/>
          <w:szCs w:val="28"/>
        </w:rPr>
        <w:t xml:space="preserve"> </w:t>
      </w:r>
      <w:r w:rsidR="005633A9">
        <w:rPr>
          <w:rFonts w:ascii="Aptos" w:hAnsi="Aptos" w:cstheme="minorHAnsi"/>
          <w:b/>
          <w:sz w:val="28"/>
          <w:szCs w:val="28"/>
        </w:rPr>
        <w:t xml:space="preserve">BLIKIEM </w:t>
      </w:r>
      <w:r w:rsidR="001358E4">
        <w:rPr>
          <w:rFonts w:ascii="Aptos" w:hAnsi="Aptos" w:cstheme="minorHAnsi"/>
          <w:b/>
          <w:sz w:val="28"/>
          <w:szCs w:val="28"/>
        </w:rPr>
        <w:t>w 202</w:t>
      </w:r>
      <w:r>
        <w:rPr>
          <w:rFonts w:ascii="Aptos" w:hAnsi="Aptos" w:cstheme="minorHAnsi"/>
          <w:b/>
          <w:sz w:val="28"/>
          <w:szCs w:val="28"/>
        </w:rPr>
        <w:t>5</w:t>
      </w:r>
      <w:r w:rsidR="001358E4">
        <w:rPr>
          <w:rFonts w:ascii="Aptos" w:hAnsi="Aptos" w:cstheme="minorHAnsi"/>
          <w:b/>
          <w:sz w:val="28"/>
          <w:szCs w:val="28"/>
        </w:rPr>
        <w:t xml:space="preserve"> r. </w:t>
      </w:r>
      <w:r w:rsidR="008959FC">
        <w:rPr>
          <w:rFonts w:ascii="Aptos" w:hAnsi="Aptos" w:cstheme="minorHAnsi"/>
          <w:b/>
          <w:sz w:val="28"/>
          <w:szCs w:val="28"/>
        </w:rPr>
        <w:t>i ponad 2 mln nowych użytkowników</w:t>
      </w:r>
    </w:p>
    <w:p w14:paraId="41338411" w14:textId="2D6685D0" w:rsidR="006B5E77" w:rsidRDefault="006B5E77" w:rsidP="005615AA">
      <w:pPr>
        <w:jc w:val="both"/>
        <w:rPr>
          <w:rFonts w:ascii="Aptos" w:hAnsi="Aptos" w:cstheme="minorHAnsi"/>
          <w:b/>
        </w:rPr>
      </w:pPr>
      <w:r w:rsidRPr="006B5E77">
        <w:rPr>
          <w:rFonts w:ascii="Aptos" w:hAnsi="Aptos" w:cstheme="minorHAnsi"/>
          <w:b/>
        </w:rPr>
        <w:t xml:space="preserve">W 2025 roku użytkownicy BLIKA zrealizowali łącznie </w:t>
      </w:r>
      <w:r w:rsidR="009F09F1">
        <w:rPr>
          <w:rFonts w:ascii="Aptos" w:hAnsi="Aptos" w:cstheme="minorHAnsi"/>
          <w:b/>
        </w:rPr>
        <w:t>2,9 mld</w:t>
      </w:r>
      <w:r w:rsidRPr="006B5E77">
        <w:rPr>
          <w:rFonts w:ascii="Aptos" w:hAnsi="Aptos" w:cstheme="minorHAnsi"/>
          <w:b/>
        </w:rPr>
        <w:t xml:space="preserve"> transakcji o wartości </w:t>
      </w:r>
      <w:r w:rsidR="004A2196" w:rsidRPr="004A2196">
        <w:rPr>
          <w:rFonts w:ascii="Aptos" w:hAnsi="Aptos" w:cstheme="minorHAnsi"/>
          <w:b/>
        </w:rPr>
        <w:t>441,5 mld zł</w:t>
      </w:r>
      <w:r w:rsidRPr="006B5E77">
        <w:rPr>
          <w:rFonts w:ascii="Aptos" w:hAnsi="Aptos" w:cstheme="minorHAnsi"/>
          <w:b/>
        </w:rPr>
        <w:t xml:space="preserve">. </w:t>
      </w:r>
      <w:r w:rsidR="006655F3">
        <w:rPr>
          <w:rFonts w:ascii="Aptos" w:hAnsi="Aptos" w:cstheme="minorHAnsi"/>
          <w:b/>
        </w:rPr>
        <w:t>Istotny</w:t>
      </w:r>
      <w:r w:rsidRPr="006B5E77">
        <w:rPr>
          <w:rFonts w:ascii="Aptos" w:hAnsi="Aptos" w:cstheme="minorHAnsi"/>
          <w:b/>
        </w:rPr>
        <w:t xml:space="preserve"> dla końcowego wyniku był czwarty kwartał, który wygenerował około </w:t>
      </w:r>
      <w:r w:rsidRPr="000115FD">
        <w:rPr>
          <w:rFonts w:ascii="Aptos" w:hAnsi="Aptos" w:cstheme="minorHAnsi"/>
          <w:b/>
        </w:rPr>
        <w:t>27 proc.</w:t>
      </w:r>
      <w:r w:rsidRPr="006B5E77">
        <w:rPr>
          <w:rFonts w:ascii="Aptos" w:hAnsi="Aptos" w:cstheme="minorHAnsi"/>
          <w:b/>
        </w:rPr>
        <w:t xml:space="preserve"> całkowitego rocznego wolumenu. Pod względem liczby operacji najsilniejszym kanałem pozostaje e-commerce, który tradycyjnie zanotował najwyższe piki sprzedażowe w końcówce roku. Rosnąca popularność wszystkich usług sprawiła, że od początku istnienia systemu użytkownicy wykonali już łącznie </w:t>
      </w:r>
      <w:r w:rsidR="001500D6">
        <w:rPr>
          <w:rFonts w:ascii="Aptos" w:hAnsi="Aptos" w:cstheme="minorHAnsi"/>
          <w:b/>
        </w:rPr>
        <w:t>10</w:t>
      </w:r>
      <w:r w:rsidRPr="006B5E77">
        <w:rPr>
          <w:rFonts w:ascii="Aptos" w:hAnsi="Aptos" w:cstheme="minorHAnsi"/>
          <w:b/>
        </w:rPr>
        <w:t xml:space="preserve"> mld transakcji o wartości </w:t>
      </w:r>
      <w:r w:rsidR="00F65EBB" w:rsidRPr="00F65EBB">
        <w:rPr>
          <w:rFonts w:ascii="Aptos" w:hAnsi="Aptos" w:cstheme="minorHAnsi"/>
          <w:b/>
        </w:rPr>
        <w:t>1,4</w:t>
      </w:r>
      <w:r w:rsidRPr="00F65EBB">
        <w:rPr>
          <w:rFonts w:ascii="Aptos" w:hAnsi="Aptos" w:cstheme="minorHAnsi"/>
          <w:b/>
        </w:rPr>
        <w:t xml:space="preserve"> </w:t>
      </w:r>
      <w:r w:rsidR="00F65EBB" w:rsidRPr="00F65EBB">
        <w:rPr>
          <w:rFonts w:ascii="Aptos" w:hAnsi="Aptos" w:cstheme="minorHAnsi"/>
          <w:b/>
        </w:rPr>
        <w:t xml:space="preserve">bln </w:t>
      </w:r>
      <w:r w:rsidRPr="00F65EBB">
        <w:rPr>
          <w:rFonts w:ascii="Aptos" w:hAnsi="Aptos" w:cstheme="minorHAnsi"/>
          <w:b/>
        </w:rPr>
        <w:t>zł.</w:t>
      </w:r>
      <w:r w:rsidR="00530B41" w:rsidRPr="00530B41">
        <w:rPr>
          <w:rFonts w:ascii="Aptos" w:hAnsi="Aptos" w:cstheme="minorHAnsi"/>
          <w:b/>
        </w:rPr>
        <w:t xml:space="preserve"> </w:t>
      </w:r>
      <w:r w:rsidR="00FF780B">
        <w:rPr>
          <w:rFonts w:ascii="Aptos" w:hAnsi="Aptos" w:cstheme="minorHAnsi"/>
          <w:b/>
        </w:rPr>
        <w:t>BLIK</w:t>
      </w:r>
      <w:r w:rsidR="00530B41" w:rsidRPr="006B5E77">
        <w:rPr>
          <w:rFonts w:ascii="Aptos" w:hAnsi="Aptos" w:cstheme="minorHAnsi"/>
          <w:b/>
        </w:rPr>
        <w:t xml:space="preserve"> sukcesywnie powiększa także bazę aktywnych klientów – w ciągu minionych 12 miesięcy dołączyło do niego ponad 2 mln nowych </w:t>
      </w:r>
      <w:r w:rsidR="00705A07">
        <w:rPr>
          <w:rFonts w:ascii="Aptos" w:hAnsi="Aptos" w:cstheme="minorHAnsi"/>
          <w:b/>
        </w:rPr>
        <w:t>użytkowników</w:t>
      </w:r>
      <w:r w:rsidR="00530B41" w:rsidRPr="006B5E77">
        <w:rPr>
          <w:rFonts w:ascii="Aptos" w:hAnsi="Aptos" w:cstheme="minorHAnsi"/>
          <w:b/>
        </w:rPr>
        <w:t xml:space="preserve">, co na koniec grudnia przełożyło się na </w:t>
      </w:r>
      <w:r w:rsidR="00530B41">
        <w:rPr>
          <w:rFonts w:ascii="Aptos" w:hAnsi="Aptos" w:cstheme="minorHAnsi"/>
          <w:b/>
        </w:rPr>
        <w:t>20,7</w:t>
      </w:r>
      <w:r w:rsidR="00530B41" w:rsidRPr="006B5E77">
        <w:rPr>
          <w:rFonts w:ascii="Aptos" w:hAnsi="Aptos" w:cstheme="minorHAnsi"/>
          <w:b/>
        </w:rPr>
        <w:t xml:space="preserve"> mln aktywnych </w:t>
      </w:r>
      <w:r w:rsidR="00CC109A">
        <w:rPr>
          <w:rFonts w:ascii="Aptos" w:hAnsi="Aptos" w:cstheme="minorHAnsi"/>
          <w:b/>
        </w:rPr>
        <w:t>kont</w:t>
      </w:r>
      <w:r w:rsidR="00530B41" w:rsidRPr="006B5E77">
        <w:rPr>
          <w:rFonts w:ascii="Aptos" w:hAnsi="Aptos" w:cstheme="minorHAnsi"/>
          <w:b/>
        </w:rPr>
        <w:t>.</w:t>
      </w:r>
    </w:p>
    <w:p w14:paraId="53C7B823" w14:textId="3F6020C8" w:rsidR="008F3C4E" w:rsidRDefault="001338B2" w:rsidP="005615AA">
      <w:pPr>
        <w:jc w:val="both"/>
        <w:rPr>
          <w:rFonts w:ascii="Aptos" w:hAnsi="Aptos" w:cstheme="minorHAnsi"/>
          <w:b/>
        </w:rPr>
      </w:pPr>
      <w:r w:rsidRPr="001338B2">
        <w:rPr>
          <w:rFonts w:ascii="Aptos" w:hAnsi="Aptos" w:cstheme="minorHAnsi"/>
          <w:b/>
        </w:rPr>
        <w:t>Dynamiczne tempo wzrostu i nowe rekordy</w:t>
      </w:r>
    </w:p>
    <w:p w14:paraId="25986A7B" w14:textId="73E1A783" w:rsidR="008F3C4E" w:rsidRPr="00600B5A" w:rsidRDefault="00FF780B" w:rsidP="005615AA">
      <w:pPr>
        <w:jc w:val="both"/>
        <w:rPr>
          <w:rFonts w:ascii="Aptos" w:hAnsi="Aptos" w:cstheme="minorHAnsi"/>
          <w:bCs/>
        </w:rPr>
      </w:pPr>
      <w:r w:rsidRPr="00FF780B">
        <w:rPr>
          <w:rFonts w:ascii="Aptos" w:hAnsi="Aptos" w:cstheme="minorHAnsi"/>
          <w:bCs/>
        </w:rPr>
        <w:t xml:space="preserve">O sile systemu w 2025 roku świadczy fakt, że w ciągu zaledwie tych 12 miesięcy Polacy zrealizowali ponad 40 proc. łącznej liczby operacji wykonanych w całej pierwszej dekadzie działalności BLIKA. Przełożyło się to na średnio 8 mln transakcji dziennie, co oznacza, że w każdej sekundzie przetwarzane były </w:t>
      </w:r>
      <w:r w:rsidR="00BF2A56">
        <w:rPr>
          <w:rFonts w:ascii="Aptos" w:hAnsi="Aptos" w:cstheme="minorHAnsi"/>
          <w:bCs/>
        </w:rPr>
        <w:t>około</w:t>
      </w:r>
      <w:r w:rsidRPr="00FF780B">
        <w:rPr>
          <w:rFonts w:ascii="Aptos" w:hAnsi="Aptos" w:cstheme="minorHAnsi"/>
          <w:bCs/>
        </w:rPr>
        <w:t xml:space="preserve"> 92 płatności. W najbardziej intensywnym dniu minionego roku użytkownicy wykonali niemal </w:t>
      </w:r>
      <w:r w:rsidR="00C956E0">
        <w:rPr>
          <w:rFonts w:ascii="Aptos" w:hAnsi="Aptos" w:cstheme="minorHAnsi"/>
          <w:bCs/>
        </w:rPr>
        <w:t>13</w:t>
      </w:r>
      <w:r w:rsidRPr="00FF780B">
        <w:rPr>
          <w:rFonts w:ascii="Aptos" w:hAnsi="Aptos" w:cstheme="minorHAnsi"/>
          <w:bCs/>
        </w:rPr>
        <w:t xml:space="preserve"> mln transakcji. Wzrost aktywności był szczególnie widoczny w czwartym kwartale, w którym zrealizowano </w:t>
      </w:r>
      <w:r w:rsidR="00146C2D" w:rsidRPr="00146C2D">
        <w:rPr>
          <w:rFonts w:ascii="Aptos" w:hAnsi="Aptos" w:cstheme="minorHAnsi"/>
          <w:bCs/>
        </w:rPr>
        <w:t>785,7</w:t>
      </w:r>
      <w:r w:rsidR="00146C2D">
        <w:rPr>
          <w:rFonts w:ascii="Aptos" w:hAnsi="Aptos" w:cstheme="minorHAnsi"/>
          <w:bCs/>
        </w:rPr>
        <w:t xml:space="preserve"> </w:t>
      </w:r>
      <w:r w:rsidRPr="00FF780B">
        <w:rPr>
          <w:rFonts w:ascii="Aptos" w:hAnsi="Aptos" w:cstheme="minorHAnsi"/>
          <w:bCs/>
        </w:rPr>
        <w:t xml:space="preserve">mln operacji o wartości </w:t>
      </w:r>
      <w:r w:rsidR="00600B5A" w:rsidRPr="00600B5A">
        <w:rPr>
          <w:rFonts w:ascii="Aptos" w:hAnsi="Aptos" w:cstheme="minorHAnsi"/>
          <w:bCs/>
        </w:rPr>
        <w:t>121,7</w:t>
      </w:r>
      <w:r w:rsidR="00600B5A">
        <w:rPr>
          <w:rFonts w:ascii="Aptos" w:hAnsi="Aptos" w:cstheme="minorHAnsi"/>
          <w:bCs/>
        </w:rPr>
        <w:t xml:space="preserve"> </w:t>
      </w:r>
      <w:r w:rsidRPr="00FF780B">
        <w:rPr>
          <w:rFonts w:ascii="Aptos" w:hAnsi="Aptos" w:cstheme="minorHAnsi"/>
          <w:bCs/>
        </w:rPr>
        <w:t>mld zł. Średnia kwota pojedynczego koszyka zakupowego w 2025 roku wyniosła 151 zł.</w:t>
      </w:r>
    </w:p>
    <w:p w14:paraId="6DD1ACA4" w14:textId="2FF00263" w:rsidR="00190C93" w:rsidRDefault="00190C93" w:rsidP="005615AA">
      <w:pPr>
        <w:jc w:val="both"/>
        <w:rPr>
          <w:rFonts w:ascii="Aptos" w:hAnsi="Aptos" w:cstheme="minorHAnsi"/>
          <w:b/>
        </w:rPr>
      </w:pPr>
      <w:r w:rsidRPr="00190C93">
        <w:rPr>
          <w:rFonts w:ascii="Aptos" w:hAnsi="Aptos" w:cstheme="minorHAnsi"/>
          <w:b/>
        </w:rPr>
        <w:t>E-commerce silnikiem wzrostu BLIKA</w:t>
      </w:r>
    </w:p>
    <w:p w14:paraId="179A4F22" w14:textId="4EE37AE1" w:rsidR="00A21246" w:rsidRDefault="00DB6C66" w:rsidP="005615AA">
      <w:pPr>
        <w:jc w:val="both"/>
        <w:rPr>
          <w:rFonts w:ascii="Aptos" w:hAnsi="Aptos" w:cstheme="minorHAnsi"/>
        </w:rPr>
      </w:pPr>
      <w:r w:rsidRPr="00DB6C66">
        <w:rPr>
          <w:rFonts w:ascii="Aptos" w:hAnsi="Aptos" w:cstheme="minorHAnsi"/>
        </w:rPr>
        <w:t>Fundamentem rozwoju systemu pozostają zakupy w sieci, które w minionym roku generowały najwyższe wolumeny transakcyjne. W 2025 roku liczba operacji BLIK w e-commerce wzrosła o 20 proc. rok do roku, co pozwoliło utrzymać temu kanałowi dominującą pozycję</w:t>
      </w:r>
      <w:r w:rsidR="00257B6F">
        <w:rPr>
          <w:rFonts w:ascii="Aptos" w:hAnsi="Aptos" w:cstheme="minorHAnsi"/>
        </w:rPr>
        <w:t>,</w:t>
      </w:r>
      <w:r w:rsidRPr="00DB6C66">
        <w:rPr>
          <w:rFonts w:ascii="Aptos" w:hAnsi="Aptos" w:cstheme="minorHAnsi"/>
        </w:rPr>
        <w:t xml:space="preserve"> z udziałem odpowiadającym za </w:t>
      </w:r>
      <w:r w:rsidR="00634849">
        <w:rPr>
          <w:rFonts w:ascii="Aptos" w:hAnsi="Aptos" w:cstheme="minorHAnsi"/>
        </w:rPr>
        <w:t xml:space="preserve">niemal </w:t>
      </w:r>
      <w:r w:rsidRPr="00DB6C66">
        <w:rPr>
          <w:rFonts w:ascii="Aptos" w:hAnsi="Aptos" w:cstheme="minorHAnsi"/>
        </w:rPr>
        <w:t xml:space="preserve">połowę wszystkich transakcji w systemie. Użytkownicy zapłacili w sklepach online </w:t>
      </w:r>
      <w:r w:rsidR="00634849">
        <w:rPr>
          <w:rFonts w:ascii="Aptos" w:hAnsi="Aptos" w:cstheme="minorHAnsi"/>
        </w:rPr>
        <w:t>1,4 mld</w:t>
      </w:r>
      <w:r w:rsidRPr="00DB6C66">
        <w:rPr>
          <w:rFonts w:ascii="Aptos" w:hAnsi="Aptos" w:cstheme="minorHAnsi"/>
        </w:rPr>
        <w:t xml:space="preserve"> razy, a łączna wartość tych zakupów wyniosła </w:t>
      </w:r>
      <w:r w:rsidR="0078359A" w:rsidRPr="0078359A">
        <w:rPr>
          <w:rFonts w:ascii="Aptos" w:hAnsi="Aptos" w:cstheme="minorHAnsi"/>
        </w:rPr>
        <w:t>219</w:t>
      </w:r>
      <w:r w:rsidR="0078359A">
        <w:rPr>
          <w:rFonts w:ascii="Aptos" w:hAnsi="Aptos" w:cstheme="minorHAnsi"/>
        </w:rPr>
        <w:t xml:space="preserve"> </w:t>
      </w:r>
      <w:r w:rsidRPr="00DB6C66">
        <w:rPr>
          <w:rFonts w:ascii="Aptos" w:hAnsi="Aptos" w:cstheme="minorHAnsi"/>
        </w:rPr>
        <w:t xml:space="preserve">mld zł (wzrost o </w:t>
      </w:r>
      <w:r w:rsidR="0078359A">
        <w:rPr>
          <w:rFonts w:ascii="Aptos" w:hAnsi="Aptos" w:cstheme="minorHAnsi"/>
        </w:rPr>
        <w:t>27</w:t>
      </w:r>
      <w:r w:rsidRPr="00DB6C66">
        <w:rPr>
          <w:rFonts w:ascii="Aptos" w:hAnsi="Aptos" w:cstheme="minorHAnsi"/>
        </w:rPr>
        <w:t xml:space="preserve"> proc. r/r). </w:t>
      </w:r>
      <w:r w:rsidR="00035030" w:rsidRPr="00035030">
        <w:rPr>
          <w:rFonts w:ascii="Aptos" w:hAnsi="Aptos" w:cstheme="minorHAnsi"/>
        </w:rPr>
        <w:t xml:space="preserve">Tylko między październikiem a grudniem Polacy zrealizowali w tym kanale </w:t>
      </w:r>
      <w:r w:rsidR="00A813D5">
        <w:rPr>
          <w:rFonts w:ascii="Aptos" w:hAnsi="Aptos" w:cstheme="minorHAnsi"/>
        </w:rPr>
        <w:t>blisko 400</w:t>
      </w:r>
      <w:r w:rsidR="00035030" w:rsidRPr="00035030">
        <w:rPr>
          <w:rFonts w:ascii="Aptos" w:hAnsi="Aptos" w:cstheme="minorHAnsi"/>
        </w:rPr>
        <w:t xml:space="preserve"> mln płatności.</w:t>
      </w:r>
      <w:r w:rsidR="00035030">
        <w:rPr>
          <w:rFonts w:ascii="Aptos" w:hAnsi="Aptos" w:cstheme="minorHAnsi"/>
        </w:rPr>
        <w:t xml:space="preserve"> </w:t>
      </w:r>
      <w:r w:rsidRPr="00DB6C66">
        <w:rPr>
          <w:rFonts w:ascii="Aptos" w:hAnsi="Aptos" w:cstheme="minorHAnsi"/>
        </w:rPr>
        <w:t xml:space="preserve">Średnia kwota pojedynczej płatności online sięgnęła </w:t>
      </w:r>
      <w:r w:rsidR="00BE7CF1">
        <w:rPr>
          <w:rFonts w:ascii="Aptos" w:hAnsi="Aptos" w:cstheme="minorHAnsi"/>
        </w:rPr>
        <w:t>15</w:t>
      </w:r>
      <w:r w:rsidR="000115FD">
        <w:rPr>
          <w:rFonts w:ascii="Aptos" w:hAnsi="Aptos" w:cstheme="minorHAnsi"/>
        </w:rPr>
        <w:t>8</w:t>
      </w:r>
      <w:r w:rsidRPr="00DB6C66">
        <w:rPr>
          <w:rFonts w:ascii="Aptos" w:hAnsi="Aptos" w:cstheme="minorHAnsi"/>
        </w:rPr>
        <w:t xml:space="preserve"> zł. </w:t>
      </w:r>
    </w:p>
    <w:p w14:paraId="47E4D948" w14:textId="3D2F1AAF" w:rsidR="005F419E" w:rsidRDefault="00927322" w:rsidP="005615AA">
      <w:pPr>
        <w:jc w:val="both"/>
        <w:rPr>
          <w:rFonts w:ascii="Aptos" w:hAnsi="Aptos" w:cstheme="minorHAnsi"/>
        </w:rPr>
      </w:pPr>
      <w:r w:rsidRPr="00927322">
        <w:rPr>
          <w:rFonts w:ascii="Aptos" w:hAnsi="Aptos" w:cstheme="minorHAnsi"/>
        </w:rPr>
        <w:t xml:space="preserve">Użytkownicy coraz chętniej sięgają także po elastyczne formy płatności, co wspiera dalszą ekspansję </w:t>
      </w:r>
      <w:r w:rsidR="002B2C85">
        <w:rPr>
          <w:rFonts w:ascii="Aptos" w:hAnsi="Aptos" w:cstheme="minorHAnsi"/>
        </w:rPr>
        <w:t>BLIKA</w:t>
      </w:r>
      <w:r w:rsidRPr="00927322">
        <w:rPr>
          <w:rFonts w:ascii="Aptos" w:hAnsi="Aptos" w:cstheme="minorHAnsi"/>
        </w:rPr>
        <w:t xml:space="preserve"> w handlu internetowym. W minionym roku na znaczeniu zyskały szczególnie BLIK Płacę Później oraz płatności powtarzalne. Pierwsza z tych usług, oferowana obecnie przez cztery banki</w:t>
      </w:r>
      <w:r w:rsidR="00545478">
        <w:rPr>
          <w:rStyle w:val="Odwoanieprzypisukocowego"/>
          <w:rFonts w:ascii="Aptos" w:hAnsi="Aptos" w:cstheme="minorHAnsi"/>
        </w:rPr>
        <w:endnoteReference w:id="2"/>
      </w:r>
      <w:r w:rsidRPr="00927322">
        <w:rPr>
          <w:rFonts w:ascii="Aptos" w:hAnsi="Aptos" w:cstheme="minorHAnsi"/>
        </w:rPr>
        <w:t xml:space="preserve">, odnotowała </w:t>
      </w:r>
      <w:r w:rsidR="00C72614" w:rsidRPr="00C72614">
        <w:rPr>
          <w:rFonts w:ascii="Aptos" w:hAnsi="Aptos" w:cstheme="minorHAnsi"/>
        </w:rPr>
        <w:t>235,5 tys.</w:t>
      </w:r>
      <w:r w:rsidRPr="00927322">
        <w:rPr>
          <w:rFonts w:ascii="Aptos" w:hAnsi="Aptos" w:cstheme="minorHAnsi"/>
        </w:rPr>
        <w:t xml:space="preserve"> transakcji o wartości </w:t>
      </w:r>
      <w:r w:rsidR="00027191" w:rsidRPr="00027191">
        <w:rPr>
          <w:rFonts w:ascii="Aptos" w:hAnsi="Aptos" w:cstheme="minorHAnsi"/>
        </w:rPr>
        <w:t xml:space="preserve">59,4 mln </w:t>
      </w:r>
      <w:r w:rsidRPr="00927322">
        <w:rPr>
          <w:rFonts w:ascii="Aptos" w:hAnsi="Aptos" w:cstheme="minorHAnsi"/>
        </w:rPr>
        <w:t xml:space="preserve">zł, przy średniej kwocie operacji wynoszącej </w:t>
      </w:r>
      <w:r w:rsidR="00027191">
        <w:rPr>
          <w:rFonts w:ascii="Aptos" w:hAnsi="Aptos" w:cstheme="minorHAnsi"/>
        </w:rPr>
        <w:t>252</w:t>
      </w:r>
      <w:r w:rsidRPr="00927322">
        <w:rPr>
          <w:rFonts w:ascii="Aptos" w:hAnsi="Aptos" w:cstheme="minorHAnsi"/>
        </w:rPr>
        <w:t xml:space="preserve"> zł. Jeszcze większą dynamikę </w:t>
      </w:r>
      <w:r w:rsidR="006B4587">
        <w:rPr>
          <w:rFonts w:ascii="Aptos" w:hAnsi="Aptos" w:cstheme="minorHAnsi"/>
        </w:rPr>
        <w:t>obserwowano</w:t>
      </w:r>
      <w:r w:rsidRPr="00927322">
        <w:rPr>
          <w:rFonts w:ascii="Aptos" w:hAnsi="Aptos" w:cstheme="minorHAnsi"/>
        </w:rPr>
        <w:t xml:space="preserve"> w obszarze płatności powtarzalnych, które są już dostępne dla klientów ośmiu banków</w:t>
      </w:r>
      <w:r w:rsidR="00A344D5">
        <w:rPr>
          <w:rStyle w:val="Odwoanieprzypisukocowego"/>
          <w:rFonts w:ascii="Aptos" w:hAnsi="Aptos" w:cstheme="minorHAnsi"/>
        </w:rPr>
        <w:endnoteReference w:id="3"/>
      </w:r>
      <w:r w:rsidRPr="00927322">
        <w:rPr>
          <w:rFonts w:ascii="Aptos" w:hAnsi="Aptos" w:cstheme="minorHAnsi"/>
        </w:rPr>
        <w:t xml:space="preserve">. W 2025 roku zrealizowano w ten sposób </w:t>
      </w:r>
      <w:r w:rsidR="00027191">
        <w:rPr>
          <w:rFonts w:ascii="Aptos" w:hAnsi="Aptos" w:cstheme="minorHAnsi"/>
        </w:rPr>
        <w:t>1,6</w:t>
      </w:r>
      <w:r w:rsidRPr="00927322">
        <w:rPr>
          <w:rFonts w:ascii="Aptos" w:hAnsi="Aptos" w:cstheme="minorHAnsi"/>
        </w:rPr>
        <w:t xml:space="preserve"> mln płatności o łącznej wartości </w:t>
      </w:r>
      <w:r w:rsidR="00F25D7F">
        <w:rPr>
          <w:rFonts w:ascii="Aptos" w:hAnsi="Aptos" w:cstheme="minorHAnsi"/>
        </w:rPr>
        <w:t>76</w:t>
      </w:r>
      <w:r w:rsidRPr="00927322">
        <w:rPr>
          <w:rFonts w:ascii="Aptos" w:hAnsi="Aptos" w:cstheme="minorHAnsi"/>
        </w:rPr>
        <w:t xml:space="preserve"> mln zł (średnio </w:t>
      </w:r>
      <w:r w:rsidR="00F25D7F">
        <w:rPr>
          <w:rFonts w:ascii="Aptos" w:hAnsi="Aptos" w:cstheme="minorHAnsi"/>
        </w:rPr>
        <w:t>48</w:t>
      </w:r>
      <w:r w:rsidRPr="00927322">
        <w:rPr>
          <w:rFonts w:ascii="Aptos" w:hAnsi="Aptos" w:cstheme="minorHAnsi"/>
        </w:rPr>
        <w:t xml:space="preserve"> zł na transakcję). </w:t>
      </w:r>
    </w:p>
    <w:p w14:paraId="1E73612E" w14:textId="232F99B3" w:rsidR="008F3C4E" w:rsidRDefault="00AA7EAB" w:rsidP="005615AA">
      <w:pPr>
        <w:jc w:val="both"/>
        <w:rPr>
          <w:rFonts w:ascii="Aptos" w:hAnsi="Aptos" w:cstheme="minorHAnsi"/>
        </w:rPr>
      </w:pPr>
      <w:r>
        <w:rPr>
          <w:rFonts w:ascii="Aptos" w:hAnsi="Aptos"/>
          <w:i/>
          <w:iCs/>
          <w:color w:val="000000"/>
        </w:rPr>
        <w:t xml:space="preserve">– Skokowy wzrost liczby transakcji w modelu płatności odroczonych, który w 2025 roku wyniósł około 440 proc. rok do roku, to najlepszy dowód na to, jak bardzo rynek wciąż potrzebuje tego </w:t>
      </w:r>
      <w:r>
        <w:rPr>
          <w:rFonts w:ascii="Aptos" w:hAnsi="Aptos"/>
          <w:i/>
          <w:iCs/>
          <w:color w:val="000000"/>
        </w:rPr>
        <w:lastRenderedPageBreak/>
        <w:t xml:space="preserve">rozwiązania. Połączenie BLIKA, ulubionej metody płatności w e-commerce, z realną potrzebą rynkową okazało się wyjątkowo trafione, co bezpośrednio przełożyło się na tak dynamiczne skoki wolumenów. Naszym priorytetem na nadchodzące kwartały jest zwiększanie powszechnego wykorzystania tych usług poprzez zacieśnianie współpracy z agentami rozliczeniowymi i </w:t>
      </w:r>
      <w:proofErr w:type="spellStart"/>
      <w:r>
        <w:rPr>
          <w:rFonts w:ascii="Aptos" w:hAnsi="Aptos"/>
          <w:i/>
          <w:iCs/>
          <w:color w:val="000000"/>
        </w:rPr>
        <w:t>merchantami</w:t>
      </w:r>
      <w:proofErr w:type="spellEnd"/>
      <w:r>
        <w:rPr>
          <w:rFonts w:ascii="Aptos" w:hAnsi="Aptos"/>
          <w:i/>
          <w:iCs/>
          <w:color w:val="000000"/>
        </w:rPr>
        <w:t>. Chcemy, aby zarówno BLIK Płacę Później, jak i płatności powtarzalne stały się domyślnym standardem przy finalizacji koszyka, ponieważ realnie przekładają się one na jego wyższą wartość oraz większą częstotliwość zakupów</w:t>
      </w:r>
      <w:r>
        <w:rPr>
          <w:rStyle w:val="apple-converted-space"/>
          <w:rFonts w:ascii="Aptos" w:hAnsi="Aptos"/>
          <w:i/>
          <w:iCs/>
          <w:color w:val="000000"/>
        </w:rPr>
        <w:t> </w:t>
      </w:r>
      <w:r>
        <w:rPr>
          <w:rFonts w:ascii="Aptos" w:hAnsi="Aptos"/>
          <w:color w:val="000000"/>
        </w:rPr>
        <w:t>– podkreśla</w:t>
      </w:r>
      <w:r>
        <w:rPr>
          <w:rStyle w:val="apple-converted-space"/>
          <w:rFonts w:ascii="Aptos" w:hAnsi="Aptos"/>
          <w:color w:val="000000"/>
        </w:rPr>
        <w:t> </w:t>
      </w:r>
      <w:r>
        <w:rPr>
          <w:rFonts w:ascii="Aptos" w:hAnsi="Aptos"/>
          <w:b/>
          <w:bCs/>
          <w:color w:val="000000"/>
        </w:rPr>
        <w:t>Monika Król</w:t>
      </w:r>
      <w:r>
        <w:rPr>
          <w:rFonts w:ascii="Aptos" w:hAnsi="Aptos"/>
          <w:color w:val="000000"/>
        </w:rPr>
        <w:t>, wiceprezeska Polskiego Standardu Płatności, operatora BLIKA.</w:t>
      </w:r>
    </w:p>
    <w:p w14:paraId="485F1190" w14:textId="480E8B1E" w:rsidR="004634CF" w:rsidRDefault="00495F3E" w:rsidP="005615AA">
      <w:pPr>
        <w:jc w:val="both"/>
        <w:rPr>
          <w:rFonts w:ascii="Aptos" w:hAnsi="Aptos" w:cstheme="minorHAnsi"/>
          <w:b/>
        </w:rPr>
      </w:pPr>
      <w:r>
        <w:rPr>
          <w:rFonts w:ascii="Aptos" w:hAnsi="Aptos" w:cstheme="minorHAnsi"/>
          <w:b/>
        </w:rPr>
        <w:t>Dalszy w</w:t>
      </w:r>
      <w:r w:rsidR="004634CF" w:rsidRPr="004634CF">
        <w:rPr>
          <w:rFonts w:ascii="Aptos" w:hAnsi="Aptos" w:cstheme="minorHAnsi"/>
          <w:b/>
        </w:rPr>
        <w:t>zrost w kanale POS</w:t>
      </w:r>
    </w:p>
    <w:p w14:paraId="6314C83A" w14:textId="7E97F082" w:rsidR="007B1F4E" w:rsidRDefault="00F56685" w:rsidP="00C05575">
      <w:pPr>
        <w:jc w:val="both"/>
        <w:rPr>
          <w:rFonts w:ascii="Aptos" w:hAnsi="Aptos" w:cstheme="minorHAnsi"/>
        </w:rPr>
      </w:pPr>
      <w:r w:rsidRPr="00F56685">
        <w:rPr>
          <w:rFonts w:ascii="Aptos" w:hAnsi="Aptos" w:cstheme="minorHAnsi"/>
        </w:rPr>
        <w:t xml:space="preserve">BLIK coraz mocniej zaznacza swoją obecność w </w:t>
      </w:r>
      <w:r w:rsidR="00663580">
        <w:rPr>
          <w:rFonts w:ascii="Aptos" w:hAnsi="Aptos" w:cstheme="minorHAnsi"/>
        </w:rPr>
        <w:t>sklepach stacjonarnych</w:t>
      </w:r>
      <w:r w:rsidRPr="00F56685">
        <w:rPr>
          <w:rFonts w:ascii="Aptos" w:hAnsi="Aptos" w:cstheme="minorHAnsi"/>
        </w:rPr>
        <w:t xml:space="preserve">, utrzymując w terminalach płatniczych dynamikę wzrostu zbliżoną do kanału e-commerce. W całym 2025 roku użytkownicy zrealizowali w ten sposób </w:t>
      </w:r>
      <w:r>
        <w:rPr>
          <w:rFonts w:ascii="Aptos" w:hAnsi="Aptos" w:cstheme="minorHAnsi"/>
        </w:rPr>
        <w:t>704,5</w:t>
      </w:r>
      <w:r w:rsidRPr="00F56685">
        <w:rPr>
          <w:rFonts w:ascii="Aptos" w:hAnsi="Aptos" w:cstheme="minorHAnsi"/>
        </w:rPr>
        <w:t xml:space="preserve"> mln transakcji, co stanowi wzrost o </w:t>
      </w:r>
      <w:r>
        <w:rPr>
          <w:rFonts w:ascii="Aptos" w:hAnsi="Aptos" w:cstheme="minorHAnsi"/>
        </w:rPr>
        <w:t>22</w:t>
      </w:r>
      <w:r w:rsidRPr="00F56685">
        <w:rPr>
          <w:rFonts w:ascii="Aptos" w:hAnsi="Aptos" w:cstheme="minorHAnsi"/>
        </w:rPr>
        <w:t xml:space="preserve"> proc. r/r. Wartość tych operacji osiągnęła poziom </w:t>
      </w:r>
      <w:r w:rsidR="000C19B8">
        <w:rPr>
          <w:rFonts w:ascii="Aptos" w:hAnsi="Aptos" w:cstheme="minorHAnsi"/>
        </w:rPr>
        <w:t>41,9</w:t>
      </w:r>
      <w:r w:rsidRPr="00F56685">
        <w:rPr>
          <w:rFonts w:ascii="Aptos" w:hAnsi="Aptos" w:cstheme="minorHAnsi"/>
        </w:rPr>
        <w:t xml:space="preserve"> mld zł, czyli o </w:t>
      </w:r>
      <w:r w:rsidR="00ED0EFA" w:rsidRPr="00662C0C">
        <w:rPr>
          <w:rFonts w:ascii="Aptos" w:hAnsi="Aptos" w:cstheme="minorHAnsi"/>
        </w:rPr>
        <w:t>3</w:t>
      </w:r>
      <w:r w:rsidR="00662C0C" w:rsidRPr="00662C0C">
        <w:rPr>
          <w:rFonts w:ascii="Aptos" w:hAnsi="Aptos" w:cstheme="minorHAnsi"/>
        </w:rPr>
        <w:t>0</w:t>
      </w:r>
      <w:r w:rsidRPr="00662C0C">
        <w:rPr>
          <w:rFonts w:ascii="Aptos" w:hAnsi="Aptos" w:cstheme="minorHAnsi"/>
        </w:rPr>
        <w:t xml:space="preserve"> proc.</w:t>
      </w:r>
      <w:r w:rsidRPr="00F56685">
        <w:rPr>
          <w:rFonts w:ascii="Aptos" w:hAnsi="Aptos" w:cstheme="minorHAnsi"/>
        </w:rPr>
        <w:t xml:space="preserve"> więcej niż rok wcześniej. Największą intensywność płatności odnotowano w czwartym kwartale, w którym liczba </w:t>
      </w:r>
      <w:r w:rsidR="00DF72EC">
        <w:rPr>
          <w:rFonts w:ascii="Aptos" w:hAnsi="Aptos" w:cstheme="minorHAnsi"/>
        </w:rPr>
        <w:t>transakcji BLIKIEM</w:t>
      </w:r>
      <w:r w:rsidRPr="00F56685">
        <w:rPr>
          <w:rFonts w:ascii="Aptos" w:hAnsi="Aptos" w:cstheme="minorHAnsi"/>
        </w:rPr>
        <w:t xml:space="preserve"> w punktach stacjonarnych wyniosła </w:t>
      </w:r>
      <w:r w:rsidR="0076103A">
        <w:rPr>
          <w:rFonts w:ascii="Aptos" w:hAnsi="Aptos" w:cstheme="minorHAnsi"/>
        </w:rPr>
        <w:t>177</w:t>
      </w:r>
      <w:r w:rsidR="000B62F3">
        <w:rPr>
          <w:rFonts w:ascii="Aptos" w:hAnsi="Aptos" w:cstheme="minorHAnsi"/>
        </w:rPr>
        <w:t xml:space="preserve"> </w:t>
      </w:r>
      <w:r w:rsidRPr="00F56685">
        <w:rPr>
          <w:rFonts w:ascii="Aptos" w:hAnsi="Aptos" w:cstheme="minorHAnsi"/>
        </w:rPr>
        <w:t>mln</w:t>
      </w:r>
      <w:r w:rsidR="000B62F3">
        <w:rPr>
          <w:rFonts w:ascii="Aptos" w:hAnsi="Aptos" w:cstheme="minorHAnsi"/>
        </w:rPr>
        <w:t xml:space="preserve"> </w:t>
      </w:r>
      <w:r w:rsidR="000B07ED" w:rsidRPr="000B07ED">
        <w:rPr>
          <w:rFonts w:ascii="Aptos" w:hAnsi="Aptos" w:cstheme="minorHAnsi"/>
        </w:rPr>
        <w:t xml:space="preserve">na łączną kwotę </w:t>
      </w:r>
      <w:r w:rsidR="00702ED8" w:rsidRPr="00702ED8">
        <w:rPr>
          <w:rFonts w:ascii="Aptos" w:hAnsi="Aptos" w:cstheme="minorHAnsi"/>
        </w:rPr>
        <w:t>1</w:t>
      </w:r>
      <w:r w:rsidR="00492E98">
        <w:rPr>
          <w:rFonts w:ascii="Aptos" w:hAnsi="Aptos" w:cstheme="minorHAnsi"/>
        </w:rPr>
        <w:t>1</w:t>
      </w:r>
      <w:r w:rsidR="00702ED8" w:rsidRPr="00702ED8">
        <w:rPr>
          <w:rFonts w:ascii="Aptos" w:hAnsi="Aptos" w:cstheme="minorHAnsi"/>
        </w:rPr>
        <w:t>,</w:t>
      </w:r>
      <w:r w:rsidR="00492E98">
        <w:rPr>
          <w:rFonts w:ascii="Aptos" w:hAnsi="Aptos" w:cstheme="minorHAnsi"/>
        </w:rPr>
        <w:t>2</w:t>
      </w:r>
      <w:r w:rsidR="00702ED8">
        <w:rPr>
          <w:rFonts w:ascii="Aptos" w:hAnsi="Aptos" w:cstheme="minorHAnsi"/>
        </w:rPr>
        <w:t xml:space="preserve"> </w:t>
      </w:r>
      <w:r w:rsidR="000B07ED" w:rsidRPr="000B07ED">
        <w:rPr>
          <w:rFonts w:ascii="Aptos" w:hAnsi="Aptos" w:cstheme="minorHAnsi"/>
        </w:rPr>
        <w:t>mld zł.</w:t>
      </w:r>
    </w:p>
    <w:p w14:paraId="0A78D090" w14:textId="242AF402" w:rsidR="00EC72B6" w:rsidRDefault="00EC72B6" w:rsidP="005615AA">
      <w:pPr>
        <w:jc w:val="both"/>
        <w:rPr>
          <w:rFonts w:ascii="Aptos" w:hAnsi="Aptos" w:cstheme="minorHAnsi"/>
        </w:rPr>
      </w:pPr>
      <w:r w:rsidRPr="00EC72B6">
        <w:rPr>
          <w:rFonts w:ascii="Aptos" w:hAnsi="Aptos" w:cstheme="minorHAnsi"/>
        </w:rPr>
        <w:t xml:space="preserve">Tak wysokie wyniki to w dużej mierze efekt </w:t>
      </w:r>
      <w:r w:rsidR="004C0924">
        <w:rPr>
          <w:rFonts w:ascii="Aptos" w:hAnsi="Aptos" w:cstheme="minorHAnsi"/>
        </w:rPr>
        <w:t>coraz większej popularności</w:t>
      </w:r>
      <w:r w:rsidRPr="00EC72B6">
        <w:rPr>
          <w:rFonts w:ascii="Aptos" w:hAnsi="Aptos" w:cstheme="minorHAnsi"/>
        </w:rPr>
        <w:t xml:space="preserve"> płatności zbliżeniowych, które generują już ponad połowę (</w:t>
      </w:r>
      <w:r>
        <w:rPr>
          <w:rFonts w:ascii="Aptos" w:hAnsi="Aptos" w:cstheme="minorHAnsi"/>
        </w:rPr>
        <w:t>48</w:t>
      </w:r>
      <w:r w:rsidRPr="00EC72B6">
        <w:rPr>
          <w:rFonts w:ascii="Aptos" w:hAnsi="Aptos" w:cstheme="minorHAnsi"/>
        </w:rPr>
        <w:t xml:space="preserve"> proc.) wszystkich operacji stacjonarnych. </w:t>
      </w:r>
      <w:r w:rsidR="00E51A4D" w:rsidRPr="00E51A4D">
        <w:rPr>
          <w:rFonts w:ascii="Aptos" w:hAnsi="Aptos" w:cstheme="minorHAnsi"/>
        </w:rPr>
        <w:t xml:space="preserve">Usługa ta, aktywowana do końca grudnia przez </w:t>
      </w:r>
      <w:r w:rsidR="00A41547">
        <w:rPr>
          <w:rFonts w:ascii="Aptos" w:hAnsi="Aptos" w:cstheme="minorHAnsi"/>
        </w:rPr>
        <w:t>3,9</w:t>
      </w:r>
      <w:r w:rsidR="00E51A4D" w:rsidRPr="00E51A4D">
        <w:rPr>
          <w:rFonts w:ascii="Aptos" w:hAnsi="Aptos" w:cstheme="minorHAnsi"/>
        </w:rPr>
        <w:t xml:space="preserve"> mln osób, stała się naturalnym wyborem także podczas zagranicznych podróży. W 2025 roku lista państw, w których zarejestrowano transakcje </w:t>
      </w:r>
      <w:proofErr w:type="spellStart"/>
      <w:r w:rsidR="00E51A4D" w:rsidRPr="00E51A4D">
        <w:rPr>
          <w:rFonts w:ascii="Aptos" w:hAnsi="Aptos" w:cstheme="minorHAnsi"/>
        </w:rPr>
        <w:t>contactless</w:t>
      </w:r>
      <w:proofErr w:type="spellEnd"/>
      <w:r w:rsidR="00E51A4D" w:rsidRPr="00E51A4D">
        <w:rPr>
          <w:rFonts w:ascii="Aptos" w:hAnsi="Aptos" w:cstheme="minorHAnsi"/>
        </w:rPr>
        <w:t xml:space="preserve"> BLIKIEM, powiększyła się o 13 nowych rynków. Poza Polską, użytkownicy najczęściej płacili zbliżeniowo w Niemczech (664 tys. transakcji), we Włoszech (291 tys.) oraz w Czechach (283 tys.). Średnia wartość pojedynczego paragonu w całym kanale POS wyniosła </w:t>
      </w:r>
      <w:r w:rsidR="007E1153">
        <w:rPr>
          <w:rFonts w:ascii="Aptos" w:hAnsi="Aptos" w:cstheme="minorHAnsi"/>
        </w:rPr>
        <w:t>59</w:t>
      </w:r>
      <w:r w:rsidR="00E51A4D" w:rsidRPr="00E51A4D">
        <w:rPr>
          <w:rFonts w:ascii="Aptos" w:hAnsi="Aptos" w:cstheme="minorHAnsi"/>
        </w:rPr>
        <w:t xml:space="preserve"> zł, a w przypadku samych transakcji zbliżeniowych było to </w:t>
      </w:r>
      <w:r w:rsidR="007E1153">
        <w:rPr>
          <w:rFonts w:ascii="Aptos" w:hAnsi="Aptos" w:cstheme="minorHAnsi"/>
        </w:rPr>
        <w:t>47</w:t>
      </w:r>
      <w:r w:rsidR="00E51A4D" w:rsidRPr="00E51A4D">
        <w:rPr>
          <w:rFonts w:ascii="Aptos" w:hAnsi="Aptos" w:cstheme="minorHAnsi"/>
        </w:rPr>
        <w:t xml:space="preserve"> zł.</w:t>
      </w:r>
    </w:p>
    <w:p w14:paraId="4AB163AC" w14:textId="5B4484A8" w:rsidR="00F96BD4" w:rsidRDefault="00F96BD4" w:rsidP="008B3DD7">
      <w:pPr>
        <w:jc w:val="both"/>
        <w:rPr>
          <w:rFonts w:ascii="Aptos" w:hAnsi="Aptos" w:cstheme="minorHAnsi"/>
          <w:b/>
        </w:rPr>
      </w:pPr>
      <w:r w:rsidRPr="00F96BD4">
        <w:rPr>
          <w:rFonts w:ascii="Aptos" w:hAnsi="Aptos" w:cstheme="minorHAnsi"/>
          <w:b/>
        </w:rPr>
        <w:t>P2P</w:t>
      </w:r>
      <w:r>
        <w:rPr>
          <w:rFonts w:ascii="Aptos" w:hAnsi="Aptos" w:cstheme="minorHAnsi"/>
          <w:b/>
        </w:rPr>
        <w:t xml:space="preserve"> – s</w:t>
      </w:r>
      <w:r w:rsidRPr="00F96BD4">
        <w:rPr>
          <w:rFonts w:ascii="Aptos" w:hAnsi="Aptos" w:cstheme="minorHAnsi"/>
          <w:b/>
        </w:rPr>
        <w:t>tandard w Polsce, rewolucja w Europie</w:t>
      </w:r>
    </w:p>
    <w:p w14:paraId="5A5549D3" w14:textId="62E93838" w:rsidR="00F96BD4" w:rsidRDefault="00622873" w:rsidP="008B3DD7">
      <w:pPr>
        <w:jc w:val="both"/>
        <w:rPr>
          <w:rFonts w:ascii="Aptos" w:hAnsi="Aptos" w:cstheme="minorHAnsi"/>
        </w:rPr>
      </w:pPr>
      <w:r w:rsidRPr="00622873">
        <w:rPr>
          <w:rFonts w:ascii="Aptos" w:hAnsi="Aptos" w:cstheme="minorHAnsi"/>
        </w:rPr>
        <w:t xml:space="preserve">Przelewy na numer telefonu pozostają jedną z najważniejszych funkcji systemu, która niezmiennie utrzymuje wysokie, dwucyfrowe tempo wzrostu. W całym 2025 roku użytkownicy zrealizowali w ten sposób </w:t>
      </w:r>
      <w:r w:rsidR="006F3ED0" w:rsidRPr="006F3ED0">
        <w:rPr>
          <w:rFonts w:ascii="Aptos" w:hAnsi="Aptos" w:cstheme="minorHAnsi"/>
        </w:rPr>
        <w:t>735,1</w:t>
      </w:r>
      <w:r w:rsidR="006F3ED0">
        <w:rPr>
          <w:rFonts w:ascii="Aptos" w:hAnsi="Aptos" w:cstheme="minorHAnsi"/>
        </w:rPr>
        <w:t xml:space="preserve"> </w:t>
      </w:r>
      <w:r w:rsidRPr="00622873">
        <w:rPr>
          <w:rFonts w:ascii="Aptos" w:hAnsi="Aptos" w:cstheme="minorHAnsi"/>
        </w:rPr>
        <w:t xml:space="preserve">mln transakcji (wzrost o </w:t>
      </w:r>
      <w:r w:rsidR="00ED04C9">
        <w:rPr>
          <w:rFonts w:ascii="Aptos" w:hAnsi="Aptos" w:cstheme="minorHAnsi"/>
        </w:rPr>
        <w:t>22</w:t>
      </w:r>
      <w:r w:rsidRPr="00622873">
        <w:rPr>
          <w:rFonts w:ascii="Aptos" w:hAnsi="Aptos" w:cstheme="minorHAnsi"/>
        </w:rPr>
        <w:t xml:space="preserve"> proc. r/r), co oznacza, że już co </w:t>
      </w:r>
      <w:r w:rsidR="00ED04C9">
        <w:rPr>
          <w:rFonts w:ascii="Aptos" w:hAnsi="Aptos" w:cstheme="minorHAnsi"/>
        </w:rPr>
        <w:t>czwarta</w:t>
      </w:r>
      <w:r w:rsidRPr="00622873">
        <w:rPr>
          <w:rFonts w:ascii="Aptos" w:hAnsi="Aptos" w:cstheme="minorHAnsi"/>
        </w:rPr>
        <w:t xml:space="preserve"> operacja BLIKIEM to przekazanie </w:t>
      </w:r>
      <w:r w:rsidR="00024080">
        <w:rPr>
          <w:rFonts w:ascii="Aptos" w:hAnsi="Aptos" w:cstheme="minorHAnsi"/>
        </w:rPr>
        <w:t>pieniędzy</w:t>
      </w:r>
      <w:r w:rsidRPr="00622873">
        <w:rPr>
          <w:rFonts w:ascii="Aptos" w:hAnsi="Aptos" w:cstheme="minorHAnsi"/>
        </w:rPr>
        <w:t xml:space="preserve"> bezpośrednio na telefon. Średnio każdego dnia Polacy wykonywali </w:t>
      </w:r>
      <w:r w:rsidR="00024080">
        <w:rPr>
          <w:rFonts w:ascii="Aptos" w:hAnsi="Aptos" w:cstheme="minorHAnsi"/>
        </w:rPr>
        <w:t>2</w:t>
      </w:r>
      <w:r w:rsidRPr="00622873">
        <w:rPr>
          <w:rFonts w:ascii="Aptos" w:hAnsi="Aptos" w:cstheme="minorHAnsi"/>
        </w:rPr>
        <w:t xml:space="preserve"> mln takich przelewów, a ich przeciętna wartość wyniosła </w:t>
      </w:r>
      <w:r w:rsidR="00024080">
        <w:rPr>
          <w:rFonts w:ascii="Aptos" w:hAnsi="Aptos" w:cstheme="minorHAnsi"/>
        </w:rPr>
        <w:t>167</w:t>
      </w:r>
      <w:r w:rsidRPr="00622873">
        <w:rPr>
          <w:rFonts w:ascii="Aptos" w:hAnsi="Aptos" w:cstheme="minorHAnsi"/>
        </w:rPr>
        <w:t xml:space="preserve"> zł.</w:t>
      </w:r>
    </w:p>
    <w:p w14:paraId="711A839D" w14:textId="12DA6ABB" w:rsidR="00F96BD4" w:rsidRDefault="004E72E2" w:rsidP="008B3DD7">
      <w:pPr>
        <w:jc w:val="both"/>
        <w:rPr>
          <w:rFonts w:ascii="Aptos" w:hAnsi="Aptos" w:cstheme="minorHAnsi"/>
        </w:rPr>
      </w:pPr>
      <w:r w:rsidRPr="004E72E2">
        <w:rPr>
          <w:rFonts w:ascii="Aptos" w:hAnsi="Aptos" w:cstheme="minorHAnsi"/>
        </w:rPr>
        <w:t xml:space="preserve">Równolegle BLIK </w:t>
      </w:r>
      <w:r>
        <w:rPr>
          <w:rFonts w:ascii="Aptos" w:hAnsi="Aptos" w:cstheme="minorHAnsi"/>
        </w:rPr>
        <w:t>przenosi</w:t>
      </w:r>
      <w:r w:rsidRPr="004E72E2">
        <w:rPr>
          <w:rFonts w:ascii="Aptos" w:hAnsi="Aptos" w:cstheme="minorHAnsi"/>
        </w:rPr>
        <w:t xml:space="preserve"> doświadczenie błyskawicznych rozliczeń na poziom </w:t>
      </w:r>
      <w:r w:rsidR="003A48F9">
        <w:rPr>
          <w:rFonts w:ascii="Aptos" w:hAnsi="Aptos" w:cstheme="minorHAnsi"/>
        </w:rPr>
        <w:t xml:space="preserve">europejski. </w:t>
      </w:r>
      <w:r w:rsidRPr="004E72E2">
        <w:rPr>
          <w:rFonts w:ascii="Aptos" w:hAnsi="Aptos" w:cstheme="minorHAnsi"/>
        </w:rPr>
        <w:t xml:space="preserve">Po udanych testach z portugalskim MB WAY, system zrealizował pierwszy pilotażowy przelew w euro z hiszpańskiego </w:t>
      </w:r>
      <w:proofErr w:type="spellStart"/>
      <w:r w:rsidRPr="004E72E2">
        <w:rPr>
          <w:rFonts w:ascii="Aptos" w:hAnsi="Aptos" w:cstheme="minorHAnsi"/>
        </w:rPr>
        <w:t>Bizum</w:t>
      </w:r>
      <w:proofErr w:type="spellEnd"/>
      <w:r w:rsidRPr="004E72E2">
        <w:rPr>
          <w:rFonts w:ascii="Aptos" w:hAnsi="Aptos" w:cstheme="minorHAnsi"/>
        </w:rPr>
        <w:t xml:space="preserve"> do PKO Banku Polskiego. To element szerszej strategii budowania europejskiej interoperacyjności w ramach stowarzyszenia </w:t>
      </w:r>
      <w:proofErr w:type="spellStart"/>
      <w:r w:rsidRPr="004E72E2">
        <w:rPr>
          <w:rFonts w:ascii="Aptos" w:hAnsi="Aptos" w:cstheme="minorHAnsi"/>
        </w:rPr>
        <w:t>EuroPA</w:t>
      </w:r>
      <w:proofErr w:type="spellEnd"/>
      <w:r w:rsidR="00C00036">
        <w:rPr>
          <w:rFonts w:ascii="Aptos" w:hAnsi="Aptos" w:cstheme="minorHAnsi"/>
        </w:rPr>
        <w:t>.</w:t>
      </w:r>
    </w:p>
    <w:p w14:paraId="5BA9E3B6" w14:textId="1E5D9C4C" w:rsidR="00C00036" w:rsidRDefault="00482198" w:rsidP="008B3DD7">
      <w:pPr>
        <w:jc w:val="both"/>
        <w:rPr>
          <w:rFonts w:ascii="Aptos" w:hAnsi="Aptos" w:cstheme="minorHAnsi"/>
        </w:rPr>
      </w:pPr>
      <w:r>
        <w:rPr>
          <w:rFonts w:ascii="Aptos" w:hAnsi="Aptos" w:cstheme="minorHAnsi"/>
        </w:rPr>
        <w:t xml:space="preserve">– </w:t>
      </w:r>
      <w:r w:rsidRPr="00482198">
        <w:rPr>
          <w:rFonts w:ascii="Aptos" w:hAnsi="Aptos" w:cstheme="minorHAnsi"/>
          <w:i/>
          <w:iCs/>
        </w:rPr>
        <w:t>Udane pilotaże z partnerami z Hiszpanii i Portugalii ostatecznie potwierdziły, że połączenie naszych systemów jest technicznie możliwe i w pełni bezpieczne.</w:t>
      </w:r>
      <w:r w:rsidR="00A4620F">
        <w:rPr>
          <w:rFonts w:ascii="Aptos" w:hAnsi="Aptos" w:cstheme="minorHAnsi"/>
          <w:i/>
          <w:iCs/>
        </w:rPr>
        <w:t xml:space="preserve"> </w:t>
      </w:r>
      <w:r w:rsidRPr="00482198">
        <w:rPr>
          <w:rFonts w:ascii="Aptos" w:hAnsi="Aptos" w:cstheme="minorHAnsi"/>
          <w:i/>
          <w:iCs/>
        </w:rPr>
        <w:t>Naszym celem jest sprawienie, by transgraniczny przelew na telefon stał się tak samo powszechny i prosty, jak rozliczenia lokalne. To wielkie wyzwanie operacyjne, ale mamy już fundamenty, by zaoferować tę swobodę 450 mln Europejczyków</w:t>
      </w:r>
      <w:r>
        <w:rPr>
          <w:rFonts w:ascii="Aptos" w:hAnsi="Aptos" w:cstheme="minorHAnsi"/>
        </w:rPr>
        <w:t xml:space="preserve"> – mówi </w:t>
      </w:r>
      <w:r w:rsidRPr="00482198">
        <w:rPr>
          <w:rFonts w:ascii="Aptos" w:hAnsi="Aptos" w:cstheme="minorHAnsi"/>
          <w:b/>
          <w:bCs/>
        </w:rPr>
        <w:t xml:space="preserve">Dariusz </w:t>
      </w:r>
      <w:proofErr w:type="spellStart"/>
      <w:r w:rsidRPr="00482198">
        <w:rPr>
          <w:rFonts w:ascii="Aptos" w:hAnsi="Aptos" w:cstheme="minorHAnsi"/>
          <w:b/>
          <w:bCs/>
        </w:rPr>
        <w:t>Mazurkiewcz</w:t>
      </w:r>
      <w:proofErr w:type="spellEnd"/>
      <w:r>
        <w:rPr>
          <w:rFonts w:ascii="Aptos" w:hAnsi="Aptos" w:cstheme="minorHAnsi"/>
        </w:rPr>
        <w:t>, prezes zarządu Polskiego Standardu Płatności, operatora BLIKA.</w:t>
      </w:r>
    </w:p>
    <w:p w14:paraId="2C55C01B" w14:textId="4EB179E7" w:rsidR="00247A16" w:rsidRPr="0065643A" w:rsidRDefault="005E7770" w:rsidP="00CB4E07">
      <w:pPr>
        <w:jc w:val="both"/>
        <w:rPr>
          <w:rFonts w:ascii="Aptos" w:hAnsi="Aptos" w:cstheme="minorHAnsi"/>
          <w:b/>
          <w:bCs/>
        </w:rPr>
      </w:pPr>
      <w:r>
        <w:rPr>
          <w:rFonts w:ascii="Aptos" w:hAnsi="Aptos" w:cstheme="minorHAnsi"/>
          <w:b/>
          <w:bCs/>
        </w:rPr>
        <w:t>D</w:t>
      </w:r>
      <w:r w:rsidR="00C171A9" w:rsidRPr="0065643A">
        <w:rPr>
          <w:rFonts w:ascii="Aptos" w:hAnsi="Aptos" w:cstheme="minorHAnsi"/>
          <w:b/>
          <w:bCs/>
        </w:rPr>
        <w:t>ostęp do gotówki</w:t>
      </w:r>
      <w:r>
        <w:rPr>
          <w:rFonts w:ascii="Aptos" w:hAnsi="Aptos" w:cstheme="minorHAnsi"/>
          <w:b/>
          <w:bCs/>
        </w:rPr>
        <w:t xml:space="preserve"> za pomocą BLIKA</w:t>
      </w:r>
    </w:p>
    <w:p w14:paraId="2E2E86A0" w14:textId="427146D4" w:rsidR="00EC4550" w:rsidRPr="00EC4550" w:rsidRDefault="00EC4550" w:rsidP="00EC4550">
      <w:pPr>
        <w:jc w:val="both"/>
        <w:rPr>
          <w:rFonts w:ascii="Aptos" w:hAnsi="Aptos" w:cstheme="minorHAnsi"/>
        </w:rPr>
      </w:pPr>
      <w:r w:rsidRPr="00EC4550">
        <w:rPr>
          <w:rFonts w:ascii="Aptos" w:hAnsi="Aptos" w:cstheme="minorHAnsi"/>
        </w:rPr>
        <w:lastRenderedPageBreak/>
        <w:t xml:space="preserve">Dopełnieniem nowoczesnego ekosystemu płatności pozostaje stały i szybki dostęp do gotówki, który jest możliwy dzięki szerokiej akceptacji BLIKA w bankomatach oraz punktach handlowych. W całym 2025 roku użytkownicy zrealizowali w ten sposób łącznie </w:t>
      </w:r>
      <w:r w:rsidR="00116EDD">
        <w:rPr>
          <w:rFonts w:ascii="Aptos" w:hAnsi="Aptos" w:cstheme="minorHAnsi"/>
        </w:rPr>
        <w:t>79</w:t>
      </w:r>
      <w:r w:rsidRPr="00EC4550">
        <w:rPr>
          <w:rFonts w:ascii="Aptos" w:hAnsi="Aptos" w:cstheme="minorHAnsi"/>
        </w:rPr>
        <w:t xml:space="preserve"> mln operacji (wzrost o </w:t>
      </w:r>
      <w:r w:rsidR="00116EDD">
        <w:rPr>
          <w:rFonts w:ascii="Aptos" w:hAnsi="Aptos" w:cstheme="minorHAnsi"/>
        </w:rPr>
        <w:t>12</w:t>
      </w:r>
      <w:r w:rsidRPr="00EC4550">
        <w:rPr>
          <w:rFonts w:ascii="Aptos" w:hAnsi="Aptos" w:cstheme="minorHAnsi"/>
        </w:rPr>
        <w:t xml:space="preserve"> proc. r/r). Średnia wartość transakcji w tym kanale wyniosła 7</w:t>
      </w:r>
      <w:r w:rsidR="00116EDD">
        <w:rPr>
          <w:rFonts w:ascii="Aptos" w:hAnsi="Aptos" w:cstheme="minorHAnsi"/>
        </w:rPr>
        <w:t>31</w:t>
      </w:r>
      <w:r w:rsidRPr="00EC4550">
        <w:rPr>
          <w:rFonts w:ascii="Aptos" w:hAnsi="Aptos" w:cstheme="minorHAnsi"/>
        </w:rPr>
        <w:t xml:space="preserve"> zł</w:t>
      </w:r>
      <w:r w:rsidR="000D3180">
        <w:rPr>
          <w:rFonts w:ascii="Aptos" w:hAnsi="Aptos" w:cstheme="minorHAnsi"/>
        </w:rPr>
        <w:t>.</w:t>
      </w:r>
    </w:p>
    <w:p w14:paraId="24731D32" w14:textId="5E170893" w:rsidR="007669CF" w:rsidRDefault="007669CF" w:rsidP="00CB4E07">
      <w:pPr>
        <w:jc w:val="both"/>
        <w:rPr>
          <w:rFonts w:ascii="Aptos" w:hAnsi="Aptos" w:cstheme="minorHAnsi"/>
        </w:rPr>
      </w:pPr>
      <w:r w:rsidRPr="007669CF">
        <w:rPr>
          <w:rFonts w:ascii="Aptos" w:hAnsi="Aptos" w:cstheme="minorHAnsi"/>
        </w:rPr>
        <w:t xml:space="preserve">Systematycznie rośnie także rola usługi </w:t>
      </w:r>
      <w:proofErr w:type="spellStart"/>
      <w:r w:rsidRPr="007669CF">
        <w:rPr>
          <w:rFonts w:ascii="Aptos" w:hAnsi="Aptos" w:cstheme="minorHAnsi"/>
        </w:rPr>
        <w:t>cashback</w:t>
      </w:r>
      <w:proofErr w:type="spellEnd"/>
      <w:r w:rsidRPr="007669CF">
        <w:rPr>
          <w:rFonts w:ascii="Aptos" w:hAnsi="Aptos" w:cstheme="minorHAnsi"/>
        </w:rPr>
        <w:t xml:space="preserve">, czyli wypłaty gotówki bezpośrednio przy kasie podczas codziennych zakupów. W ubiegłym roku Polacy skorzystali z tej opcji </w:t>
      </w:r>
      <w:r w:rsidR="000E17A1">
        <w:rPr>
          <w:rFonts w:ascii="Aptos" w:hAnsi="Aptos" w:cstheme="minorHAnsi"/>
        </w:rPr>
        <w:t>1,3</w:t>
      </w:r>
      <w:r w:rsidRPr="007669CF">
        <w:rPr>
          <w:rFonts w:ascii="Aptos" w:hAnsi="Aptos" w:cstheme="minorHAnsi"/>
        </w:rPr>
        <w:t xml:space="preserve"> mln razy, co </w:t>
      </w:r>
      <w:r w:rsidRPr="00662C0C">
        <w:rPr>
          <w:rFonts w:ascii="Aptos" w:hAnsi="Aptos" w:cstheme="minorHAnsi"/>
        </w:rPr>
        <w:t xml:space="preserve">stanowi wzrost o </w:t>
      </w:r>
      <w:r w:rsidR="00662C0C" w:rsidRPr="00662C0C">
        <w:rPr>
          <w:rFonts w:ascii="Aptos" w:hAnsi="Aptos" w:cstheme="minorHAnsi"/>
        </w:rPr>
        <w:t>7</w:t>
      </w:r>
      <w:r w:rsidRPr="00662C0C">
        <w:rPr>
          <w:rFonts w:ascii="Aptos" w:hAnsi="Aptos" w:cstheme="minorHAnsi"/>
        </w:rPr>
        <w:t xml:space="preserve"> proc. w porównaniu do analogicznego okresu 2024 roku. Rozwiązanie</w:t>
      </w:r>
      <w:r w:rsidRPr="007669CF">
        <w:rPr>
          <w:rFonts w:ascii="Aptos" w:hAnsi="Aptos" w:cstheme="minorHAnsi"/>
        </w:rPr>
        <w:t xml:space="preserve"> to jest obecnie dostępne w ponad 20 tys. punktów handlowych w całym kraju, w tym w popularnych sieciach takich jak Żabka czy Dino. Jednocześnie użytkownicy BLIKA mogą swobodnie wypłacać </w:t>
      </w:r>
      <w:r w:rsidR="00200EB7">
        <w:rPr>
          <w:rFonts w:ascii="Aptos" w:hAnsi="Aptos" w:cstheme="minorHAnsi"/>
        </w:rPr>
        <w:t>pieniądze</w:t>
      </w:r>
      <w:r w:rsidRPr="007669CF">
        <w:rPr>
          <w:rFonts w:ascii="Aptos" w:hAnsi="Aptos" w:cstheme="minorHAnsi"/>
        </w:rPr>
        <w:t xml:space="preserve"> w ponad 13 000 bankomatów (w tym w ponad 8000 urządzeń w sieciach własnych banków), w których limity transakcyjne </w:t>
      </w:r>
      <w:r w:rsidR="00DA2DF3">
        <w:rPr>
          <w:rFonts w:ascii="Aptos" w:hAnsi="Aptos" w:cstheme="minorHAnsi"/>
        </w:rPr>
        <w:t>są</w:t>
      </w:r>
      <w:r w:rsidR="00DA2DF3" w:rsidRPr="007669CF">
        <w:rPr>
          <w:rFonts w:ascii="Aptos" w:hAnsi="Aptos" w:cstheme="minorHAnsi"/>
        </w:rPr>
        <w:t xml:space="preserve"> </w:t>
      </w:r>
      <w:r w:rsidRPr="007669CF">
        <w:rPr>
          <w:rFonts w:ascii="Aptos" w:hAnsi="Aptos" w:cstheme="minorHAnsi"/>
        </w:rPr>
        <w:t>na wysokim, komfortowym poziomie.</w:t>
      </w:r>
    </w:p>
    <w:p w14:paraId="036A12AD" w14:textId="17290DC4" w:rsidR="00952997" w:rsidRDefault="002E73C7" w:rsidP="002E73C7">
      <w:pPr>
        <w:spacing w:line="276" w:lineRule="auto"/>
        <w:rPr>
          <w:rFonts w:ascii="Aptos" w:hAnsi="Aptos" w:cstheme="minorHAnsi"/>
          <w:b/>
        </w:rPr>
      </w:pPr>
      <w:r w:rsidRPr="002E73C7">
        <w:rPr>
          <w:rFonts w:ascii="Aptos" w:hAnsi="Aptos" w:cstheme="minorHAnsi"/>
          <w:b/>
        </w:rPr>
        <w:t>Systematyczne poszerzanie zasięgu i lojalność użytkowników</w:t>
      </w:r>
    </w:p>
    <w:p w14:paraId="1CDE6192" w14:textId="2C428E4A" w:rsidR="00952997" w:rsidRDefault="00AA0CAF" w:rsidP="00251B0A">
      <w:pPr>
        <w:spacing w:line="276" w:lineRule="auto"/>
        <w:jc w:val="both"/>
        <w:rPr>
          <w:rFonts w:ascii="Aptos" w:hAnsi="Aptos" w:cstheme="minorHAnsi"/>
          <w:b/>
        </w:rPr>
      </w:pPr>
      <w:r w:rsidRPr="00AA0CAF">
        <w:rPr>
          <w:rFonts w:ascii="Aptos" w:hAnsi="Aptos" w:cstheme="minorHAnsi"/>
          <w:bCs/>
        </w:rPr>
        <w:t xml:space="preserve">Rok 2025 przyniósł dalszy, stabilny rozwój bazy użytkowników, która w ciągu dwunastu miesięcy powiększyła się o 2,2 mln. Szczególnie intensywny pod tym względem był czwarty kwartał – w tym okresie przybyło </w:t>
      </w:r>
      <w:r w:rsidR="00305874">
        <w:rPr>
          <w:rFonts w:ascii="Aptos" w:hAnsi="Aptos" w:cstheme="minorHAnsi"/>
          <w:bCs/>
        </w:rPr>
        <w:t>blisko 1</w:t>
      </w:r>
      <w:r w:rsidRPr="00AA0CAF">
        <w:rPr>
          <w:rFonts w:ascii="Aptos" w:hAnsi="Aptos" w:cstheme="minorHAnsi"/>
          <w:bCs/>
        </w:rPr>
        <w:t xml:space="preserve"> mln aktywnych użytkowników, co pozwoliło osiągnąć na koniec grudnia łączny poziom </w:t>
      </w:r>
      <w:r w:rsidR="001E4F66">
        <w:rPr>
          <w:rFonts w:ascii="Aptos" w:hAnsi="Aptos" w:cstheme="minorHAnsi"/>
          <w:bCs/>
        </w:rPr>
        <w:t>20,7</w:t>
      </w:r>
      <w:r w:rsidRPr="00AA0CAF">
        <w:rPr>
          <w:rFonts w:ascii="Aptos" w:hAnsi="Aptos" w:cstheme="minorHAnsi"/>
          <w:bCs/>
        </w:rPr>
        <w:t xml:space="preserve"> mln. </w:t>
      </w:r>
      <w:r w:rsidR="00A66834" w:rsidRPr="00A66834">
        <w:rPr>
          <w:rFonts w:ascii="Aptos" w:hAnsi="Aptos" w:cstheme="minorHAnsi"/>
          <w:bCs/>
        </w:rPr>
        <w:t>Klienci banków korzystający z BLIKA wykonują średnio 12 transakcji miesięcznie, czyniąc go podstawowym narzędziem do codziennych rozliczeń.</w:t>
      </w:r>
    </w:p>
    <w:p w14:paraId="1AA28815" w14:textId="175B1918" w:rsidR="00B54CA2" w:rsidRPr="00E71F48" w:rsidRDefault="00680568" w:rsidP="00B54CA2">
      <w:pPr>
        <w:spacing w:line="276" w:lineRule="auto"/>
        <w:jc w:val="center"/>
        <w:rPr>
          <w:rFonts w:ascii="Aptos" w:hAnsi="Aptos" w:cstheme="minorHAnsi"/>
        </w:rPr>
      </w:pPr>
      <w:r>
        <w:rPr>
          <w:rFonts w:ascii="Aptos" w:hAnsi="Aptos" w:cstheme="minorHAnsi"/>
        </w:rPr>
        <w:br/>
      </w:r>
      <w:r w:rsidR="00B54CA2" w:rsidRPr="00E71F48">
        <w:rPr>
          <w:rFonts w:ascii="Aptos" w:hAnsi="Aptos" w:cstheme="minorHAnsi"/>
        </w:rPr>
        <w:t>***</w:t>
      </w:r>
    </w:p>
    <w:p w14:paraId="73E05793" w14:textId="77777777" w:rsidR="00567D4D" w:rsidRPr="00680568" w:rsidRDefault="00567D4D" w:rsidP="00567D4D">
      <w:pPr>
        <w:jc w:val="both"/>
        <w:rPr>
          <w:rFonts w:ascii="Aptos" w:hAnsi="Aptos" w:cstheme="minorHAnsi"/>
          <w:sz w:val="20"/>
          <w:szCs w:val="20"/>
        </w:rPr>
      </w:pPr>
      <w:r w:rsidRPr="00680568">
        <w:rPr>
          <w:rFonts w:ascii="Aptos" w:hAnsi="Aptos" w:cstheme="minorHAnsi"/>
          <w:b/>
          <w:sz w:val="20"/>
          <w:szCs w:val="20"/>
        </w:rPr>
        <w:t>BLIK</w:t>
      </w:r>
      <w:r w:rsidRPr="00680568">
        <w:rPr>
          <w:rFonts w:ascii="Aptos" w:hAnsi="Aptos" w:cstheme="minorHAnsi"/>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Santander Bank Polska, ING Bank Śląski, mBank, PKO Bank Polski oraz Mastercard.</w:t>
      </w:r>
    </w:p>
    <w:p w14:paraId="6F30E737" w14:textId="77777777" w:rsidR="009A4C4F" w:rsidRPr="00680568" w:rsidRDefault="009A4C4F" w:rsidP="00B54CA2">
      <w:pPr>
        <w:spacing w:line="276" w:lineRule="auto"/>
        <w:jc w:val="both"/>
        <w:rPr>
          <w:rFonts w:ascii="Aptos" w:hAnsi="Aptos" w:cstheme="minorHAnsi"/>
          <w:b/>
          <w:sz w:val="20"/>
          <w:szCs w:val="20"/>
        </w:rPr>
      </w:pPr>
    </w:p>
    <w:p w14:paraId="684B5FF9" w14:textId="2B7CD62B" w:rsidR="00B54CA2" w:rsidRPr="00680568" w:rsidRDefault="00B54CA2" w:rsidP="00B54CA2">
      <w:pPr>
        <w:spacing w:line="276" w:lineRule="auto"/>
        <w:jc w:val="both"/>
        <w:rPr>
          <w:rFonts w:ascii="Aptos" w:hAnsi="Aptos" w:cstheme="minorHAnsi"/>
          <w:b/>
          <w:sz w:val="20"/>
          <w:szCs w:val="20"/>
        </w:rPr>
      </w:pPr>
      <w:r w:rsidRPr="00680568">
        <w:rPr>
          <w:rFonts w:ascii="Aptos" w:hAnsi="Aptos" w:cstheme="minorHAnsi"/>
          <w:b/>
          <w:sz w:val="20"/>
          <w:szCs w:val="20"/>
        </w:rPr>
        <w:t>Kontakt dla mediów:</w:t>
      </w:r>
    </w:p>
    <w:p w14:paraId="2EADC533" w14:textId="77777777" w:rsidR="00B54CA2" w:rsidRPr="00680568" w:rsidRDefault="00B54CA2" w:rsidP="00B54CA2">
      <w:pPr>
        <w:spacing w:after="0" w:line="276" w:lineRule="auto"/>
        <w:jc w:val="both"/>
        <w:rPr>
          <w:rFonts w:ascii="Aptos" w:hAnsi="Aptos" w:cstheme="minorHAnsi"/>
          <w:sz w:val="20"/>
          <w:szCs w:val="20"/>
        </w:rPr>
      </w:pPr>
      <w:r w:rsidRPr="00680568">
        <w:rPr>
          <w:rFonts w:ascii="Aptos" w:hAnsi="Aptos" w:cstheme="minorHAnsi"/>
          <w:sz w:val="20"/>
          <w:szCs w:val="20"/>
        </w:rPr>
        <w:t>Klaudia Rombalska</w:t>
      </w:r>
    </w:p>
    <w:p w14:paraId="5B730506" w14:textId="77777777" w:rsidR="00B54CA2" w:rsidRPr="00680568" w:rsidRDefault="00B54CA2" w:rsidP="00B54CA2">
      <w:pPr>
        <w:spacing w:after="0" w:line="276" w:lineRule="auto"/>
        <w:jc w:val="both"/>
        <w:rPr>
          <w:rFonts w:ascii="Aptos" w:hAnsi="Aptos" w:cstheme="minorHAnsi"/>
          <w:sz w:val="20"/>
          <w:szCs w:val="20"/>
        </w:rPr>
      </w:pPr>
      <w:r w:rsidRPr="00680568">
        <w:rPr>
          <w:rFonts w:ascii="Aptos" w:hAnsi="Aptos" w:cstheme="minorHAnsi"/>
          <w:sz w:val="20"/>
          <w:szCs w:val="20"/>
        </w:rPr>
        <w:t>Biuro prasowe BLIKA</w:t>
      </w:r>
    </w:p>
    <w:p w14:paraId="6694ACAA" w14:textId="614DF13C" w:rsidR="00B54CA2" w:rsidRPr="00680568" w:rsidRDefault="008A1A3E" w:rsidP="00B54CA2">
      <w:pPr>
        <w:spacing w:after="0" w:line="276" w:lineRule="auto"/>
        <w:rPr>
          <w:rFonts w:ascii="Aptos" w:hAnsi="Aptos" w:cstheme="minorHAnsi"/>
          <w:sz w:val="20"/>
          <w:szCs w:val="20"/>
        </w:rPr>
      </w:pPr>
      <w:hyperlink r:id="rId10" w:history="1">
        <w:r w:rsidRPr="00680568">
          <w:rPr>
            <w:rStyle w:val="Hipercze"/>
            <w:rFonts w:ascii="Aptos" w:hAnsi="Aptos" w:cstheme="minorHAnsi"/>
            <w:sz w:val="20"/>
            <w:szCs w:val="20"/>
          </w:rPr>
          <w:t>klaudia.rombalska@clearcom.pl</w:t>
        </w:r>
      </w:hyperlink>
      <w:r w:rsidRPr="00680568">
        <w:rPr>
          <w:rFonts w:ascii="Aptos" w:hAnsi="Aptos" w:cstheme="minorHAnsi"/>
          <w:sz w:val="20"/>
          <w:szCs w:val="20"/>
        </w:rPr>
        <w:t xml:space="preserve"> </w:t>
      </w:r>
    </w:p>
    <w:p w14:paraId="1245FE1C" w14:textId="77777777" w:rsidR="00B022A7" w:rsidRPr="00E71F48" w:rsidRDefault="00B022A7">
      <w:pPr>
        <w:rPr>
          <w:rFonts w:ascii="Aptos" w:hAnsi="Aptos" w:cstheme="minorHAnsi"/>
        </w:rPr>
      </w:pPr>
    </w:p>
    <w:sectPr w:rsidR="00B022A7" w:rsidRPr="00E71F4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D83F" w14:textId="77777777" w:rsidR="006B0686" w:rsidRDefault="006B0686" w:rsidP="009A0537">
      <w:pPr>
        <w:spacing w:after="0" w:line="240" w:lineRule="auto"/>
      </w:pPr>
      <w:r>
        <w:separator/>
      </w:r>
    </w:p>
  </w:endnote>
  <w:endnote w:type="continuationSeparator" w:id="0">
    <w:p w14:paraId="48E8942B" w14:textId="77777777" w:rsidR="006B0686" w:rsidRDefault="006B0686" w:rsidP="009A0537">
      <w:pPr>
        <w:spacing w:after="0" w:line="240" w:lineRule="auto"/>
      </w:pPr>
      <w:r>
        <w:continuationSeparator/>
      </w:r>
    </w:p>
  </w:endnote>
  <w:endnote w:type="continuationNotice" w:id="1">
    <w:p w14:paraId="30EBD378" w14:textId="77777777" w:rsidR="006B0686" w:rsidRDefault="006B0686">
      <w:pPr>
        <w:spacing w:after="0" w:line="240" w:lineRule="auto"/>
      </w:pPr>
    </w:p>
  </w:endnote>
  <w:endnote w:id="2">
    <w:p w14:paraId="528E6E8C" w14:textId="7043C60A" w:rsidR="00545478" w:rsidRDefault="00545478">
      <w:pPr>
        <w:pStyle w:val="Tekstprzypisukocowego"/>
      </w:pPr>
      <w:r>
        <w:rPr>
          <w:rStyle w:val="Odwoanieprzypisukocowego"/>
        </w:rPr>
        <w:endnoteRef/>
      </w:r>
      <w:r>
        <w:t xml:space="preserve"> </w:t>
      </w:r>
      <w:r w:rsidR="007F27AF" w:rsidRPr="007F27AF">
        <w:t>BLIK Płacę Później dostępny jest w PKO Bank</w:t>
      </w:r>
      <w:r w:rsidR="00F43B61">
        <w:t>u</w:t>
      </w:r>
      <w:r w:rsidR="007F27AF" w:rsidRPr="007F27AF">
        <w:t xml:space="preserve"> Polski</w:t>
      </w:r>
      <w:r w:rsidR="00F43B61">
        <w:t>m</w:t>
      </w:r>
      <w:r w:rsidR="007F27AF" w:rsidRPr="007F27AF">
        <w:t>, Bank</w:t>
      </w:r>
      <w:r w:rsidR="00F43B61">
        <w:t xml:space="preserve">u </w:t>
      </w:r>
      <w:r w:rsidR="007F27AF" w:rsidRPr="007F27AF">
        <w:t xml:space="preserve">Millennium, </w:t>
      </w:r>
      <w:proofErr w:type="spellStart"/>
      <w:r w:rsidR="007F27AF" w:rsidRPr="007F27AF">
        <w:t>VeloBank</w:t>
      </w:r>
      <w:r w:rsidR="00F43B61">
        <w:t>u</w:t>
      </w:r>
      <w:proofErr w:type="spellEnd"/>
      <w:r w:rsidR="007F27AF" w:rsidRPr="007F27AF">
        <w:t>, bankach spółdzielczych z grupy SGB.</w:t>
      </w:r>
    </w:p>
    <w:p w14:paraId="2EC73A81" w14:textId="77777777" w:rsidR="007F27AF" w:rsidRDefault="007F27AF">
      <w:pPr>
        <w:pStyle w:val="Tekstprzypisukocowego"/>
      </w:pPr>
    </w:p>
  </w:endnote>
  <w:endnote w:id="3">
    <w:p w14:paraId="6D15D680" w14:textId="30F88277" w:rsidR="00A344D5" w:rsidRDefault="00A344D5">
      <w:pPr>
        <w:pStyle w:val="Tekstprzypisukocowego"/>
      </w:pPr>
      <w:r>
        <w:rPr>
          <w:rStyle w:val="Odwoanieprzypisukocowego"/>
        </w:rPr>
        <w:endnoteRef/>
      </w:r>
      <w:r>
        <w:t xml:space="preserve"> </w:t>
      </w:r>
      <w:r w:rsidRPr="00A344D5">
        <w:t xml:space="preserve">BLIK Płatności </w:t>
      </w:r>
      <w:r>
        <w:t>P</w:t>
      </w:r>
      <w:r w:rsidRPr="00A344D5">
        <w:t>owtarzalne dostępne są w</w:t>
      </w:r>
      <w:r>
        <w:t xml:space="preserve"> </w:t>
      </w:r>
      <w:r w:rsidRPr="00A344D5">
        <w:t xml:space="preserve">PKO Banku Polskim, Banku Millennium, Santander Bank Polska, bankach Spółdzielczej Grupy Bankowej (SGB), ING Banku Śląskim, </w:t>
      </w:r>
      <w:proofErr w:type="spellStart"/>
      <w:r w:rsidRPr="00A344D5">
        <w:t>Nest</w:t>
      </w:r>
      <w:proofErr w:type="spellEnd"/>
      <w:r w:rsidRPr="00A344D5">
        <w:t xml:space="preserve"> Banku, Alior Banku.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32B64" w14:textId="77777777" w:rsidR="006B0686" w:rsidRDefault="006B0686" w:rsidP="009A0537">
      <w:pPr>
        <w:spacing w:after="0" w:line="240" w:lineRule="auto"/>
      </w:pPr>
      <w:r>
        <w:separator/>
      </w:r>
    </w:p>
  </w:footnote>
  <w:footnote w:type="continuationSeparator" w:id="0">
    <w:p w14:paraId="43D396D8" w14:textId="77777777" w:rsidR="006B0686" w:rsidRDefault="006B0686" w:rsidP="009A0537">
      <w:pPr>
        <w:spacing w:after="0" w:line="240" w:lineRule="auto"/>
      </w:pPr>
      <w:r>
        <w:continuationSeparator/>
      </w:r>
    </w:p>
  </w:footnote>
  <w:footnote w:type="continuationNotice" w:id="1">
    <w:p w14:paraId="13C2CEB5" w14:textId="77777777" w:rsidR="006B0686" w:rsidRDefault="006B06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4530" w14:textId="7FAA5796" w:rsidR="00BC133C" w:rsidRDefault="00BC133C">
    <w:pPr>
      <w:pStyle w:val="Nagwek"/>
    </w:pPr>
    <w:r>
      <w:rPr>
        <w:noProof/>
        <w:lang w:eastAsia="pl-PL"/>
      </w:rPr>
      <w:drawing>
        <wp:anchor distT="0" distB="0" distL="114300" distR="114300" simplePos="0" relativeHeight="251658241" behindDoc="0" locked="0" layoutInCell="1" allowOverlap="1" wp14:anchorId="424BCDD2" wp14:editId="44EF1818">
          <wp:simplePos x="0" y="0"/>
          <wp:positionH relativeFrom="margin">
            <wp:align>right</wp:align>
          </wp:positionH>
          <wp:positionV relativeFrom="topMargin">
            <wp:posOffset>461010</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r>
      <w:rPr>
        <w:noProof/>
        <w:lang w:eastAsia="pl-PL"/>
      </w:rPr>
      <w:drawing>
        <wp:anchor distT="0" distB="0" distL="114300" distR="114300" simplePos="0" relativeHeight="251658240" behindDoc="1" locked="0" layoutInCell="1" allowOverlap="1" wp14:anchorId="65ECC895" wp14:editId="69A94345">
          <wp:simplePos x="0" y="0"/>
          <wp:positionH relativeFrom="margin">
            <wp:align>left</wp:align>
          </wp:positionH>
          <wp:positionV relativeFrom="paragraph">
            <wp:posOffset>-271145</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2"/>
                  <a:srcRect/>
                  <a:stretch>
                    <a:fillRect/>
                  </a:stretch>
                </pic:blipFill>
                <pic:spPr bwMode="auto">
                  <a:xfrm>
                    <a:off x="0" y="0"/>
                    <a:ext cx="1811655" cy="1095375"/>
                  </a:xfrm>
                  <a:prstGeom prst="rect">
                    <a:avLst/>
                  </a:prstGeom>
                  <a:noFill/>
                </pic:spPr>
              </pic:pic>
            </a:graphicData>
          </a:graphic>
        </wp:anchor>
      </w:drawing>
    </w:r>
  </w:p>
  <w:p w14:paraId="38ED7FB2" w14:textId="6A914A2B" w:rsidR="00BC133C" w:rsidRDefault="00BC133C">
    <w:pPr>
      <w:pStyle w:val="Nagwek"/>
    </w:pPr>
  </w:p>
  <w:p w14:paraId="5D6B57E1" w14:textId="77777777" w:rsidR="00BC133C" w:rsidRDefault="00BC133C">
    <w:pPr>
      <w:pStyle w:val="Nagwek"/>
    </w:pPr>
  </w:p>
  <w:p w14:paraId="3B2B025F" w14:textId="77777777" w:rsidR="00BC133C" w:rsidRDefault="00BC133C">
    <w:pPr>
      <w:pStyle w:val="Nagwek"/>
    </w:pPr>
  </w:p>
  <w:p w14:paraId="206C1C77" w14:textId="6421CC5F" w:rsidR="009A0537" w:rsidRDefault="009A053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0Mzc0tzQwNTMztDRW0lEKTi0uzszPAykwrgUA2Tw+0ywAAAA="/>
  </w:docVars>
  <w:rsids>
    <w:rsidRoot w:val="009A1E8C"/>
    <w:rsid w:val="0000147B"/>
    <w:rsid w:val="00003C82"/>
    <w:rsid w:val="0000680B"/>
    <w:rsid w:val="000115FD"/>
    <w:rsid w:val="00024080"/>
    <w:rsid w:val="00027191"/>
    <w:rsid w:val="00031A1B"/>
    <w:rsid w:val="00032BB3"/>
    <w:rsid w:val="00032D14"/>
    <w:rsid w:val="00034137"/>
    <w:rsid w:val="00035030"/>
    <w:rsid w:val="0003599D"/>
    <w:rsid w:val="0004720B"/>
    <w:rsid w:val="00047C00"/>
    <w:rsid w:val="00055FA9"/>
    <w:rsid w:val="000567CD"/>
    <w:rsid w:val="000660BF"/>
    <w:rsid w:val="000718CC"/>
    <w:rsid w:val="00072725"/>
    <w:rsid w:val="00081278"/>
    <w:rsid w:val="00085342"/>
    <w:rsid w:val="00091B75"/>
    <w:rsid w:val="00092209"/>
    <w:rsid w:val="000923AC"/>
    <w:rsid w:val="000A372D"/>
    <w:rsid w:val="000B07ED"/>
    <w:rsid w:val="000B1453"/>
    <w:rsid w:val="000B33F2"/>
    <w:rsid w:val="000B62F3"/>
    <w:rsid w:val="000C19B8"/>
    <w:rsid w:val="000C6044"/>
    <w:rsid w:val="000D2A8C"/>
    <w:rsid w:val="000D3180"/>
    <w:rsid w:val="000D7CA0"/>
    <w:rsid w:val="000E17A1"/>
    <w:rsid w:val="000E4564"/>
    <w:rsid w:val="000E4E2F"/>
    <w:rsid w:val="000F5607"/>
    <w:rsid w:val="00101ABA"/>
    <w:rsid w:val="00112633"/>
    <w:rsid w:val="00115830"/>
    <w:rsid w:val="00116486"/>
    <w:rsid w:val="001165F4"/>
    <w:rsid w:val="00116EDD"/>
    <w:rsid w:val="00121251"/>
    <w:rsid w:val="00123E8B"/>
    <w:rsid w:val="001251F5"/>
    <w:rsid w:val="0012645B"/>
    <w:rsid w:val="001326B4"/>
    <w:rsid w:val="00132E43"/>
    <w:rsid w:val="001338B2"/>
    <w:rsid w:val="001342E0"/>
    <w:rsid w:val="00134DD8"/>
    <w:rsid w:val="001358E4"/>
    <w:rsid w:val="00136BFF"/>
    <w:rsid w:val="0014379C"/>
    <w:rsid w:val="001467EB"/>
    <w:rsid w:val="001469C0"/>
    <w:rsid w:val="00146C2D"/>
    <w:rsid w:val="001500D6"/>
    <w:rsid w:val="00150FF3"/>
    <w:rsid w:val="001567CF"/>
    <w:rsid w:val="001610D3"/>
    <w:rsid w:val="00166EE7"/>
    <w:rsid w:val="00182BE1"/>
    <w:rsid w:val="001845F5"/>
    <w:rsid w:val="00184B56"/>
    <w:rsid w:val="00185041"/>
    <w:rsid w:val="00185391"/>
    <w:rsid w:val="001876EF"/>
    <w:rsid w:val="001908CF"/>
    <w:rsid w:val="00190C93"/>
    <w:rsid w:val="00191BA5"/>
    <w:rsid w:val="0019219C"/>
    <w:rsid w:val="001923E8"/>
    <w:rsid w:val="00193865"/>
    <w:rsid w:val="001A4A55"/>
    <w:rsid w:val="001A562C"/>
    <w:rsid w:val="001B49D0"/>
    <w:rsid w:val="001C2225"/>
    <w:rsid w:val="001D3E76"/>
    <w:rsid w:val="001D5BC3"/>
    <w:rsid w:val="001E18B2"/>
    <w:rsid w:val="001E4F66"/>
    <w:rsid w:val="001E7C93"/>
    <w:rsid w:val="001F44A3"/>
    <w:rsid w:val="001F66D9"/>
    <w:rsid w:val="0020021E"/>
    <w:rsid w:val="00200EB7"/>
    <w:rsid w:val="002039CB"/>
    <w:rsid w:val="00204D40"/>
    <w:rsid w:val="00210101"/>
    <w:rsid w:val="00212E6F"/>
    <w:rsid w:val="00231E65"/>
    <w:rsid w:val="00233AF0"/>
    <w:rsid w:val="00233C34"/>
    <w:rsid w:val="00237E74"/>
    <w:rsid w:val="00242B3C"/>
    <w:rsid w:val="00247A16"/>
    <w:rsid w:val="002514D5"/>
    <w:rsid w:val="00251B0A"/>
    <w:rsid w:val="002561BF"/>
    <w:rsid w:val="00256CF5"/>
    <w:rsid w:val="00257B6F"/>
    <w:rsid w:val="00261A85"/>
    <w:rsid w:val="00262419"/>
    <w:rsid w:val="00267780"/>
    <w:rsid w:val="002723F4"/>
    <w:rsid w:val="002735F4"/>
    <w:rsid w:val="0027568C"/>
    <w:rsid w:val="002836DD"/>
    <w:rsid w:val="002867F4"/>
    <w:rsid w:val="00291202"/>
    <w:rsid w:val="00292A12"/>
    <w:rsid w:val="00293607"/>
    <w:rsid w:val="0029388B"/>
    <w:rsid w:val="002938C5"/>
    <w:rsid w:val="002943FA"/>
    <w:rsid w:val="002A1BE4"/>
    <w:rsid w:val="002A3642"/>
    <w:rsid w:val="002A5619"/>
    <w:rsid w:val="002A5A1F"/>
    <w:rsid w:val="002A6FD8"/>
    <w:rsid w:val="002B2C85"/>
    <w:rsid w:val="002B7E3E"/>
    <w:rsid w:val="002C39DB"/>
    <w:rsid w:val="002D65DD"/>
    <w:rsid w:val="002D7849"/>
    <w:rsid w:val="002E2F5A"/>
    <w:rsid w:val="002E630D"/>
    <w:rsid w:val="002E73C7"/>
    <w:rsid w:val="002E7FB0"/>
    <w:rsid w:val="002F1515"/>
    <w:rsid w:val="002F4A50"/>
    <w:rsid w:val="002F5C90"/>
    <w:rsid w:val="00304BEB"/>
    <w:rsid w:val="00305874"/>
    <w:rsid w:val="00314A69"/>
    <w:rsid w:val="003176F1"/>
    <w:rsid w:val="00320D57"/>
    <w:rsid w:val="00321E8A"/>
    <w:rsid w:val="00332173"/>
    <w:rsid w:val="003347C8"/>
    <w:rsid w:val="00334852"/>
    <w:rsid w:val="00340EDC"/>
    <w:rsid w:val="003511A2"/>
    <w:rsid w:val="00352444"/>
    <w:rsid w:val="00352BA9"/>
    <w:rsid w:val="00360DC7"/>
    <w:rsid w:val="0036795F"/>
    <w:rsid w:val="00370588"/>
    <w:rsid w:val="003707CA"/>
    <w:rsid w:val="003751BE"/>
    <w:rsid w:val="003812F9"/>
    <w:rsid w:val="00392F6A"/>
    <w:rsid w:val="00393A23"/>
    <w:rsid w:val="00394AF5"/>
    <w:rsid w:val="003A27F3"/>
    <w:rsid w:val="003A48F9"/>
    <w:rsid w:val="003B24BD"/>
    <w:rsid w:val="003B3FCA"/>
    <w:rsid w:val="003B75B7"/>
    <w:rsid w:val="003C0167"/>
    <w:rsid w:val="003C344C"/>
    <w:rsid w:val="003D0C1B"/>
    <w:rsid w:val="003D101C"/>
    <w:rsid w:val="003D10E4"/>
    <w:rsid w:val="003D3841"/>
    <w:rsid w:val="003D3B70"/>
    <w:rsid w:val="003E08A8"/>
    <w:rsid w:val="003E5930"/>
    <w:rsid w:val="003E6171"/>
    <w:rsid w:val="004124A5"/>
    <w:rsid w:val="0041301A"/>
    <w:rsid w:val="00413857"/>
    <w:rsid w:val="0042294F"/>
    <w:rsid w:val="00422BC1"/>
    <w:rsid w:val="00424439"/>
    <w:rsid w:val="00425A76"/>
    <w:rsid w:val="004336A1"/>
    <w:rsid w:val="00437B61"/>
    <w:rsid w:val="00444FB4"/>
    <w:rsid w:val="004452EF"/>
    <w:rsid w:val="0044591E"/>
    <w:rsid w:val="00446162"/>
    <w:rsid w:val="00455CE8"/>
    <w:rsid w:val="00456ACD"/>
    <w:rsid w:val="004634CF"/>
    <w:rsid w:val="004669C2"/>
    <w:rsid w:val="0047394A"/>
    <w:rsid w:val="00477A8C"/>
    <w:rsid w:val="00482198"/>
    <w:rsid w:val="00484EF8"/>
    <w:rsid w:val="00485334"/>
    <w:rsid w:val="00487F48"/>
    <w:rsid w:val="00492E98"/>
    <w:rsid w:val="004940D5"/>
    <w:rsid w:val="0049552D"/>
    <w:rsid w:val="00495F3E"/>
    <w:rsid w:val="004A2196"/>
    <w:rsid w:val="004A2D3E"/>
    <w:rsid w:val="004B5373"/>
    <w:rsid w:val="004B5872"/>
    <w:rsid w:val="004B658E"/>
    <w:rsid w:val="004C0924"/>
    <w:rsid w:val="004C4748"/>
    <w:rsid w:val="004C523B"/>
    <w:rsid w:val="004C5558"/>
    <w:rsid w:val="004E72E2"/>
    <w:rsid w:val="004F00FC"/>
    <w:rsid w:val="004F1990"/>
    <w:rsid w:val="00501EC8"/>
    <w:rsid w:val="00502555"/>
    <w:rsid w:val="00506541"/>
    <w:rsid w:val="00522922"/>
    <w:rsid w:val="00527E5F"/>
    <w:rsid w:val="00530B41"/>
    <w:rsid w:val="0053331B"/>
    <w:rsid w:val="005375FC"/>
    <w:rsid w:val="00537DF4"/>
    <w:rsid w:val="00545478"/>
    <w:rsid w:val="00545919"/>
    <w:rsid w:val="005461F1"/>
    <w:rsid w:val="00546370"/>
    <w:rsid w:val="005520FB"/>
    <w:rsid w:val="005533CE"/>
    <w:rsid w:val="005567F3"/>
    <w:rsid w:val="00560848"/>
    <w:rsid w:val="005615AA"/>
    <w:rsid w:val="005633A9"/>
    <w:rsid w:val="00565635"/>
    <w:rsid w:val="0056786F"/>
    <w:rsid w:val="00567D4D"/>
    <w:rsid w:val="00576130"/>
    <w:rsid w:val="00576861"/>
    <w:rsid w:val="00576D6A"/>
    <w:rsid w:val="005847B2"/>
    <w:rsid w:val="00585B5E"/>
    <w:rsid w:val="00587DCC"/>
    <w:rsid w:val="00590838"/>
    <w:rsid w:val="005A7019"/>
    <w:rsid w:val="005A7759"/>
    <w:rsid w:val="005C2FAE"/>
    <w:rsid w:val="005D1E99"/>
    <w:rsid w:val="005D6D1B"/>
    <w:rsid w:val="005E0686"/>
    <w:rsid w:val="005E139B"/>
    <w:rsid w:val="005E6492"/>
    <w:rsid w:val="005E7770"/>
    <w:rsid w:val="005E79DF"/>
    <w:rsid w:val="005F3A2D"/>
    <w:rsid w:val="005F419E"/>
    <w:rsid w:val="005F4633"/>
    <w:rsid w:val="005F5358"/>
    <w:rsid w:val="005F5BAF"/>
    <w:rsid w:val="005F6090"/>
    <w:rsid w:val="005F7232"/>
    <w:rsid w:val="00600B5A"/>
    <w:rsid w:val="0060544B"/>
    <w:rsid w:val="00607DB7"/>
    <w:rsid w:val="0061694B"/>
    <w:rsid w:val="00622873"/>
    <w:rsid w:val="00625D0E"/>
    <w:rsid w:val="00630BF5"/>
    <w:rsid w:val="00631552"/>
    <w:rsid w:val="00633595"/>
    <w:rsid w:val="0063426B"/>
    <w:rsid w:val="00634849"/>
    <w:rsid w:val="00634A03"/>
    <w:rsid w:val="00636683"/>
    <w:rsid w:val="006400B6"/>
    <w:rsid w:val="006421FE"/>
    <w:rsid w:val="00642737"/>
    <w:rsid w:val="00644871"/>
    <w:rsid w:val="00645A3E"/>
    <w:rsid w:val="00655E5D"/>
    <w:rsid w:val="0065643A"/>
    <w:rsid w:val="00662C0C"/>
    <w:rsid w:val="00663580"/>
    <w:rsid w:val="006637FD"/>
    <w:rsid w:val="006655F3"/>
    <w:rsid w:val="00667A3B"/>
    <w:rsid w:val="00671398"/>
    <w:rsid w:val="006723F9"/>
    <w:rsid w:val="00672C50"/>
    <w:rsid w:val="00675D0B"/>
    <w:rsid w:val="00680568"/>
    <w:rsid w:val="00682069"/>
    <w:rsid w:val="00683A36"/>
    <w:rsid w:val="00684281"/>
    <w:rsid w:val="006860A7"/>
    <w:rsid w:val="00693229"/>
    <w:rsid w:val="0069352E"/>
    <w:rsid w:val="00695476"/>
    <w:rsid w:val="006A438F"/>
    <w:rsid w:val="006B0686"/>
    <w:rsid w:val="006B3779"/>
    <w:rsid w:val="006B4587"/>
    <w:rsid w:val="006B5E77"/>
    <w:rsid w:val="006B6EB6"/>
    <w:rsid w:val="006C3968"/>
    <w:rsid w:val="006C46E5"/>
    <w:rsid w:val="006C7D2D"/>
    <w:rsid w:val="006D09CF"/>
    <w:rsid w:val="006D3746"/>
    <w:rsid w:val="006D3925"/>
    <w:rsid w:val="006D3F7D"/>
    <w:rsid w:val="006D6208"/>
    <w:rsid w:val="006E040E"/>
    <w:rsid w:val="006E0B32"/>
    <w:rsid w:val="006F1C6D"/>
    <w:rsid w:val="006F255D"/>
    <w:rsid w:val="006F3ED0"/>
    <w:rsid w:val="006F5F53"/>
    <w:rsid w:val="006F7929"/>
    <w:rsid w:val="00702ED8"/>
    <w:rsid w:val="00705A07"/>
    <w:rsid w:val="00712DC1"/>
    <w:rsid w:val="00714DBB"/>
    <w:rsid w:val="00715E21"/>
    <w:rsid w:val="00717D18"/>
    <w:rsid w:val="00721D46"/>
    <w:rsid w:val="00726185"/>
    <w:rsid w:val="00737958"/>
    <w:rsid w:val="007411C6"/>
    <w:rsid w:val="00747433"/>
    <w:rsid w:val="00754C18"/>
    <w:rsid w:val="00754C9B"/>
    <w:rsid w:val="0076103A"/>
    <w:rsid w:val="00762852"/>
    <w:rsid w:val="007669CF"/>
    <w:rsid w:val="007670BD"/>
    <w:rsid w:val="00774E67"/>
    <w:rsid w:val="0077645F"/>
    <w:rsid w:val="007776D3"/>
    <w:rsid w:val="00781150"/>
    <w:rsid w:val="00781C09"/>
    <w:rsid w:val="0078359A"/>
    <w:rsid w:val="007850DF"/>
    <w:rsid w:val="00787ECC"/>
    <w:rsid w:val="00796255"/>
    <w:rsid w:val="007A226C"/>
    <w:rsid w:val="007A375C"/>
    <w:rsid w:val="007B1F4E"/>
    <w:rsid w:val="007B73C1"/>
    <w:rsid w:val="007C0C77"/>
    <w:rsid w:val="007D1B8B"/>
    <w:rsid w:val="007D2DEC"/>
    <w:rsid w:val="007E1153"/>
    <w:rsid w:val="007E1B7B"/>
    <w:rsid w:val="007E51CE"/>
    <w:rsid w:val="007F1CBB"/>
    <w:rsid w:val="007F2361"/>
    <w:rsid w:val="007F27AF"/>
    <w:rsid w:val="007F3A1D"/>
    <w:rsid w:val="008070E8"/>
    <w:rsid w:val="008078BB"/>
    <w:rsid w:val="00814EAD"/>
    <w:rsid w:val="00816653"/>
    <w:rsid w:val="00821E34"/>
    <w:rsid w:val="008271E0"/>
    <w:rsid w:val="00832B7C"/>
    <w:rsid w:val="008356A7"/>
    <w:rsid w:val="00837489"/>
    <w:rsid w:val="0084044A"/>
    <w:rsid w:val="0084178B"/>
    <w:rsid w:val="0084420A"/>
    <w:rsid w:val="0085433F"/>
    <w:rsid w:val="00873AC6"/>
    <w:rsid w:val="00882CC5"/>
    <w:rsid w:val="00883411"/>
    <w:rsid w:val="008835AC"/>
    <w:rsid w:val="00885C57"/>
    <w:rsid w:val="00890B2F"/>
    <w:rsid w:val="00892701"/>
    <w:rsid w:val="008927A8"/>
    <w:rsid w:val="008959FC"/>
    <w:rsid w:val="00895D18"/>
    <w:rsid w:val="008A1A3E"/>
    <w:rsid w:val="008A45F7"/>
    <w:rsid w:val="008A50EA"/>
    <w:rsid w:val="008A6A36"/>
    <w:rsid w:val="008B1015"/>
    <w:rsid w:val="008B266C"/>
    <w:rsid w:val="008B3DD7"/>
    <w:rsid w:val="008B7FB3"/>
    <w:rsid w:val="008C0894"/>
    <w:rsid w:val="008D33E7"/>
    <w:rsid w:val="008D3960"/>
    <w:rsid w:val="008D4878"/>
    <w:rsid w:val="008D7DE3"/>
    <w:rsid w:val="008D7ECC"/>
    <w:rsid w:val="008E435C"/>
    <w:rsid w:val="008E50A3"/>
    <w:rsid w:val="008E5195"/>
    <w:rsid w:val="008F28BE"/>
    <w:rsid w:val="008F3C4E"/>
    <w:rsid w:val="00901314"/>
    <w:rsid w:val="00904849"/>
    <w:rsid w:val="009100CE"/>
    <w:rsid w:val="0091359B"/>
    <w:rsid w:val="00913F4E"/>
    <w:rsid w:val="00914A16"/>
    <w:rsid w:val="00927322"/>
    <w:rsid w:val="00930A51"/>
    <w:rsid w:val="00952997"/>
    <w:rsid w:val="00954716"/>
    <w:rsid w:val="00957FAD"/>
    <w:rsid w:val="009609FD"/>
    <w:rsid w:val="009643F3"/>
    <w:rsid w:val="00964E47"/>
    <w:rsid w:val="00980200"/>
    <w:rsid w:val="00980503"/>
    <w:rsid w:val="0099151A"/>
    <w:rsid w:val="009960AC"/>
    <w:rsid w:val="009A0537"/>
    <w:rsid w:val="009A09FF"/>
    <w:rsid w:val="009A1E8C"/>
    <w:rsid w:val="009A1FAF"/>
    <w:rsid w:val="009A2F44"/>
    <w:rsid w:val="009A4C4F"/>
    <w:rsid w:val="009B6D55"/>
    <w:rsid w:val="009B72E0"/>
    <w:rsid w:val="009C2857"/>
    <w:rsid w:val="009C3D2F"/>
    <w:rsid w:val="009C7BCA"/>
    <w:rsid w:val="009D2B83"/>
    <w:rsid w:val="009D43A0"/>
    <w:rsid w:val="009D5504"/>
    <w:rsid w:val="009D65DD"/>
    <w:rsid w:val="009E29F6"/>
    <w:rsid w:val="009E427A"/>
    <w:rsid w:val="009F061A"/>
    <w:rsid w:val="009F09F1"/>
    <w:rsid w:val="009F18AB"/>
    <w:rsid w:val="009F2C3C"/>
    <w:rsid w:val="009F4BC4"/>
    <w:rsid w:val="00A012DE"/>
    <w:rsid w:val="00A0160D"/>
    <w:rsid w:val="00A03638"/>
    <w:rsid w:val="00A036A3"/>
    <w:rsid w:val="00A0476B"/>
    <w:rsid w:val="00A069D0"/>
    <w:rsid w:val="00A118F9"/>
    <w:rsid w:val="00A121FF"/>
    <w:rsid w:val="00A12E8B"/>
    <w:rsid w:val="00A1752D"/>
    <w:rsid w:val="00A20483"/>
    <w:rsid w:val="00A21246"/>
    <w:rsid w:val="00A217C4"/>
    <w:rsid w:val="00A2230B"/>
    <w:rsid w:val="00A26229"/>
    <w:rsid w:val="00A26C76"/>
    <w:rsid w:val="00A27943"/>
    <w:rsid w:val="00A344D5"/>
    <w:rsid w:val="00A40317"/>
    <w:rsid w:val="00A41547"/>
    <w:rsid w:val="00A4620F"/>
    <w:rsid w:val="00A55E9E"/>
    <w:rsid w:val="00A60201"/>
    <w:rsid w:val="00A61550"/>
    <w:rsid w:val="00A62030"/>
    <w:rsid w:val="00A63E81"/>
    <w:rsid w:val="00A66834"/>
    <w:rsid w:val="00A702F8"/>
    <w:rsid w:val="00A74D16"/>
    <w:rsid w:val="00A75D8A"/>
    <w:rsid w:val="00A77F11"/>
    <w:rsid w:val="00A80F08"/>
    <w:rsid w:val="00A813D5"/>
    <w:rsid w:val="00AA0CAF"/>
    <w:rsid w:val="00AA3737"/>
    <w:rsid w:val="00AA5866"/>
    <w:rsid w:val="00AA6A62"/>
    <w:rsid w:val="00AA7EAB"/>
    <w:rsid w:val="00AB398E"/>
    <w:rsid w:val="00AB4381"/>
    <w:rsid w:val="00AB5E15"/>
    <w:rsid w:val="00AC2245"/>
    <w:rsid w:val="00AC2C71"/>
    <w:rsid w:val="00AC3A75"/>
    <w:rsid w:val="00AC3EC9"/>
    <w:rsid w:val="00AD1012"/>
    <w:rsid w:val="00AD1B46"/>
    <w:rsid w:val="00AE0E6D"/>
    <w:rsid w:val="00AF0933"/>
    <w:rsid w:val="00AF53EB"/>
    <w:rsid w:val="00B00EAC"/>
    <w:rsid w:val="00B022A7"/>
    <w:rsid w:val="00B06C0E"/>
    <w:rsid w:val="00B07D70"/>
    <w:rsid w:val="00B10E93"/>
    <w:rsid w:val="00B17D43"/>
    <w:rsid w:val="00B21974"/>
    <w:rsid w:val="00B22712"/>
    <w:rsid w:val="00B24E61"/>
    <w:rsid w:val="00B24E89"/>
    <w:rsid w:val="00B33E4B"/>
    <w:rsid w:val="00B3728C"/>
    <w:rsid w:val="00B40B24"/>
    <w:rsid w:val="00B4248E"/>
    <w:rsid w:val="00B47364"/>
    <w:rsid w:val="00B54185"/>
    <w:rsid w:val="00B54CA2"/>
    <w:rsid w:val="00B63DE1"/>
    <w:rsid w:val="00B7685C"/>
    <w:rsid w:val="00B87197"/>
    <w:rsid w:val="00B90345"/>
    <w:rsid w:val="00B90F30"/>
    <w:rsid w:val="00B94DEC"/>
    <w:rsid w:val="00B971BC"/>
    <w:rsid w:val="00BA237C"/>
    <w:rsid w:val="00BA2707"/>
    <w:rsid w:val="00BA3279"/>
    <w:rsid w:val="00BA6A7E"/>
    <w:rsid w:val="00BB2F30"/>
    <w:rsid w:val="00BB46FB"/>
    <w:rsid w:val="00BC133C"/>
    <w:rsid w:val="00BC393C"/>
    <w:rsid w:val="00BD114C"/>
    <w:rsid w:val="00BD1569"/>
    <w:rsid w:val="00BD2722"/>
    <w:rsid w:val="00BD3F01"/>
    <w:rsid w:val="00BD515E"/>
    <w:rsid w:val="00BD527B"/>
    <w:rsid w:val="00BD7A2B"/>
    <w:rsid w:val="00BE0272"/>
    <w:rsid w:val="00BE5DB0"/>
    <w:rsid w:val="00BE63F0"/>
    <w:rsid w:val="00BE669E"/>
    <w:rsid w:val="00BE7CF1"/>
    <w:rsid w:val="00BF0B03"/>
    <w:rsid w:val="00BF1F85"/>
    <w:rsid w:val="00BF2A56"/>
    <w:rsid w:val="00C00036"/>
    <w:rsid w:val="00C02F39"/>
    <w:rsid w:val="00C05575"/>
    <w:rsid w:val="00C112A5"/>
    <w:rsid w:val="00C1304A"/>
    <w:rsid w:val="00C13A5E"/>
    <w:rsid w:val="00C14EA1"/>
    <w:rsid w:val="00C153BF"/>
    <w:rsid w:val="00C171A9"/>
    <w:rsid w:val="00C201C8"/>
    <w:rsid w:val="00C22664"/>
    <w:rsid w:val="00C3000B"/>
    <w:rsid w:val="00C312D2"/>
    <w:rsid w:val="00C31F5B"/>
    <w:rsid w:val="00C32422"/>
    <w:rsid w:val="00C33883"/>
    <w:rsid w:val="00C35124"/>
    <w:rsid w:val="00C55DE2"/>
    <w:rsid w:val="00C63FC6"/>
    <w:rsid w:val="00C6675F"/>
    <w:rsid w:val="00C6769A"/>
    <w:rsid w:val="00C70BAA"/>
    <w:rsid w:val="00C7126A"/>
    <w:rsid w:val="00C72614"/>
    <w:rsid w:val="00C728D0"/>
    <w:rsid w:val="00C733B6"/>
    <w:rsid w:val="00C74B36"/>
    <w:rsid w:val="00C74C8F"/>
    <w:rsid w:val="00C80711"/>
    <w:rsid w:val="00C80721"/>
    <w:rsid w:val="00C814B5"/>
    <w:rsid w:val="00C81C16"/>
    <w:rsid w:val="00C8438E"/>
    <w:rsid w:val="00C86E56"/>
    <w:rsid w:val="00C91578"/>
    <w:rsid w:val="00C92D7E"/>
    <w:rsid w:val="00C956E0"/>
    <w:rsid w:val="00CA462A"/>
    <w:rsid w:val="00CA67D1"/>
    <w:rsid w:val="00CA70C0"/>
    <w:rsid w:val="00CB4E07"/>
    <w:rsid w:val="00CB5665"/>
    <w:rsid w:val="00CC109A"/>
    <w:rsid w:val="00CC4704"/>
    <w:rsid w:val="00CC7AC4"/>
    <w:rsid w:val="00CD0EF4"/>
    <w:rsid w:val="00CD3393"/>
    <w:rsid w:val="00CD4EA1"/>
    <w:rsid w:val="00CD55A1"/>
    <w:rsid w:val="00CD7B5C"/>
    <w:rsid w:val="00CF483B"/>
    <w:rsid w:val="00D01B00"/>
    <w:rsid w:val="00D058E8"/>
    <w:rsid w:val="00D05DFE"/>
    <w:rsid w:val="00D15AED"/>
    <w:rsid w:val="00D15E69"/>
    <w:rsid w:val="00D17C45"/>
    <w:rsid w:val="00D20555"/>
    <w:rsid w:val="00D2389F"/>
    <w:rsid w:val="00D33B29"/>
    <w:rsid w:val="00D34CA4"/>
    <w:rsid w:val="00D36B4E"/>
    <w:rsid w:val="00D41B1B"/>
    <w:rsid w:val="00D4368C"/>
    <w:rsid w:val="00D441DE"/>
    <w:rsid w:val="00D46564"/>
    <w:rsid w:val="00D51389"/>
    <w:rsid w:val="00D5438A"/>
    <w:rsid w:val="00D54916"/>
    <w:rsid w:val="00D5496E"/>
    <w:rsid w:val="00D67483"/>
    <w:rsid w:val="00D734FD"/>
    <w:rsid w:val="00D76877"/>
    <w:rsid w:val="00D772E3"/>
    <w:rsid w:val="00D84AA9"/>
    <w:rsid w:val="00D86380"/>
    <w:rsid w:val="00D87C6F"/>
    <w:rsid w:val="00D91048"/>
    <w:rsid w:val="00D9186F"/>
    <w:rsid w:val="00D9398C"/>
    <w:rsid w:val="00D946DE"/>
    <w:rsid w:val="00DA2DF3"/>
    <w:rsid w:val="00DA6530"/>
    <w:rsid w:val="00DB286A"/>
    <w:rsid w:val="00DB5E37"/>
    <w:rsid w:val="00DB6C66"/>
    <w:rsid w:val="00DC2B44"/>
    <w:rsid w:val="00DC3B80"/>
    <w:rsid w:val="00DC7E68"/>
    <w:rsid w:val="00DD4306"/>
    <w:rsid w:val="00DE5CA1"/>
    <w:rsid w:val="00DE74F7"/>
    <w:rsid w:val="00DF72EC"/>
    <w:rsid w:val="00DF7836"/>
    <w:rsid w:val="00DF79E1"/>
    <w:rsid w:val="00E01217"/>
    <w:rsid w:val="00E033BE"/>
    <w:rsid w:val="00E05F1F"/>
    <w:rsid w:val="00E069BF"/>
    <w:rsid w:val="00E21915"/>
    <w:rsid w:val="00E24F1A"/>
    <w:rsid w:val="00E46B8C"/>
    <w:rsid w:val="00E47759"/>
    <w:rsid w:val="00E50061"/>
    <w:rsid w:val="00E50D1D"/>
    <w:rsid w:val="00E51A4D"/>
    <w:rsid w:val="00E52F63"/>
    <w:rsid w:val="00E62E1D"/>
    <w:rsid w:val="00E63C12"/>
    <w:rsid w:val="00E657D2"/>
    <w:rsid w:val="00E66849"/>
    <w:rsid w:val="00E71F48"/>
    <w:rsid w:val="00E727D1"/>
    <w:rsid w:val="00E72B2F"/>
    <w:rsid w:val="00E80A5E"/>
    <w:rsid w:val="00E842EF"/>
    <w:rsid w:val="00E84AD2"/>
    <w:rsid w:val="00E84C4F"/>
    <w:rsid w:val="00E9305F"/>
    <w:rsid w:val="00EA535A"/>
    <w:rsid w:val="00EB5081"/>
    <w:rsid w:val="00EC0567"/>
    <w:rsid w:val="00EC4550"/>
    <w:rsid w:val="00EC4AB4"/>
    <w:rsid w:val="00EC72B6"/>
    <w:rsid w:val="00ED04C9"/>
    <w:rsid w:val="00ED0EFA"/>
    <w:rsid w:val="00ED6871"/>
    <w:rsid w:val="00EE482E"/>
    <w:rsid w:val="00EF60ED"/>
    <w:rsid w:val="00EF6E73"/>
    <w:rsid w:val="00F02477"/>
    <w:rsid w:val="00F25D7F"/>
    <w:rsid w:val="00F2718B"/>
    <w:rsid w:val="00F2776A"/>
    <w:rsid w:val="00F43B61"/>
    <w:rsid w:val="00F47F68"/>
    <w:rsid w:val="00F56685"/>
    <w:rsid w:val="00F61F3E"/>
    <w:rsid w:val="00F622EC"/>
    <w:rsid w:val="00F63BE4"/>
    <w:rsid w:val="00F644E7"/>
    <w:rsid w:val="00F65EBB"/>
    <w:rsid w:val="00F75735"/>
    <w:rsid w:val="00F84811"/>
    <w:rsid w:val="00F93D32"/>
    <w:rsid w:val="00F96451"/>
    <w:rsid w:val="00F96BD4"/>
    <w:rsid w:val="00FA2EE7"/>
    <w:rsid w:val="00FA3537"/>
    <w:rsid w:val="00FA3DF3"/>
    <w:rsid w:val="00FA59A4"/>
    <w:rsid w:val="00FA7505"/>
    <w:rsid w:val="00FB11FC"/>
    <w:rsid w:val="00FE60E3"/>
    <w:rsid w:val="00FE6C41"/>
    <w:rsid w:val="00FF7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4D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7A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05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37"/>
  </w:style>
  <w:style w:type="paragraph" w:styleId="Stopka">
    <w:name w:val="footer"/>
    <w:basedOn w:val="Normalny"/>
    <w:link w:val="StopkaZnak"/>
    <w:uiPriority w:val="99"/>
    <w:unhideWhenUsed/>
    <w:rsid w:val="009A05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37"/>
  </w:style>
  <w:style w:type="paragraph" w:styleId="Poprawka">
    <w:name w:val="Revision"/>
    <w:hidden/>
    <w:uiPriority w:val="99"/>
    <w:semiHidden/>
    <w:rsid w:val="002F1515"/>
    <w:pPr>
      <w:spacing w:after="0" w:line="240" w:lineRule="auto"/>
    </w:pPr>
  </w:style>
  <w:style w:type="character" w:styleId="Odwoaniedokomentarza">
    <w:name w:val="annotation reference"/>
    <w:basedOn w:val="Domylnaczcionkaakapitu"/>
    <w:uiPriority w:val="99"/>
    <w:semiHidden/>
    <w:unhideWhenUsed/>
    <w:rsid w:val="00A55E9E"/>
    <w:rPr>
      <w:sz w:val="16"/>
      <w:szCs w:val="16"/>
    </w:rPr>
  </w:style>
  <w:style w:type="paragraph" w:styleId="Tekstkomentarza">
    <w:name w:val="annotation text"/>
    <w:basedOn w:val="Normalny"/>
    <w:link w:val="TekstkomentarzaZnak"/>
    <w:uiPriority w:val="99"/>
    <w:unhideWhenUsed/>
    <w:rsid w:val="00A55E9E"/>
    <w:pPr>
      <w:spacing w:line="240" w:lineRule="auto"/>
    </w:pPr>
    <w:rPr>
      <w:sz w:val="20"/>
      <w:szCs w:val="20"/>
    </w:rPr>
  </w:style>
  <w:style w:type="character" w:customStyle="1" w:styleId="TekstkomentarzaZnak">
    <w:name w:val="Tekst komentarza Znak"/>
    <w:basedOn w:val="Domylnaczcionkaakapitu"/>
    <w:link w:val="Tekstkomentarza"/>
    <w:uiPriority w:val="99"/>
    <w:rsid w:val="00A55E9E"/>
    <w:rPr>
      <w:sz w:val="20"/>
      <w:szCs w:val="20"/>
    </w:rPr>
  </w:style>
  <w:style w:type="paragraph" w:styleId="Tematkomentarza">
    <w:name w:val="annotation subject"/>
    <w:basedOn w:val="Tekstkomentarza"/>
    <w:next w:val="Tekstkomentarza"/>
    <w:link w:val="TematkomentarzaZnak"/>
    <w:uiPriority w:val="99"/>
    <w:semiHidden/>
    <w:unhideWhenUsed/>
    <w:rsid w:val="00A55E9E"/>
    <w:rPr>
      <w:b/>
      <w:bCs/>
    </w:rPr>
  </w:style>
  <w:style w:type="character" w:customStyle="1" w:styleId="TematkomentarzaZnak">
    <w:name w:val="Temat komentarza Znak"/>
    <w:basedOn w:val="TekstkomentarzaZnak"/>
    <w:link w:val="Tematkomentarza"/>
    <w:uiPriority w:val="99"/>
    <w:semiHidden/>
    <w:rsid w:val="00A55E9E"/>
    <w:rPr>
      <w:b/>
      <w:bCs/>
      <w:sz w:val="20"/>
      <w:szCs w:val="20"/>
    </w:rPr>
  </w:style>
  <w:style w:type="character" w:styleId="Hipercze">
    <w:name w:val="Hyperlink"/>
    <w:basedOn w:val="Domylnaczcionkaakapitu"/>
    <w:uiPriority w:val="99"/>
    <w:unhideWhenUsed/>
    <w:rsid w:val="008A1A3E"/>
    <w:rPr>
      <w:color w:val="0563C1" w:themeColor="hyperlink"/>
      <w:u w:val="single"/>
    </w:rPr>
  </w:style>
  <w:style w:type="character" w:styleId="Nierozpoznanawzmianka">
    <w:name w:val="Unresolved Mention"/>
    <w:basedOn w:val="Domylnaczcionkaakapitu"/>
    <w:uiPriority w:val="99"/>
    <w:semiHidden/>
    <w:unhideWhenUsed/>
    <w:rsid w:val="008A1A3E"/>
    <w:rPr>
      <w:color w:val="605E5C"/>
      <w:shd w:val="clear" w:color="auto" w:fill="E1DFDD"/>
    </w:rPr>
  </w:style>
  <w:style w:type="paragraph" w:styleId="Tekstprzypisukocowego">
    <w:name w:val="endnote text"/>
    <w:basedOn w:val="Normalny"/>
    <w:link w:val="TekstprzypisukocowegoZnak"/>
    <w:uiPriority w:val="99"/>
    <w:semiHidden/>
    <w:unhideWhenUsed/>
    <w:rsid w:val="005454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5478"/>
    <w:rPr>
      <w:sz w:val="20"/>
      <w:szCs w:val="20"/>
    </w:rPr>
  </w:style>
  <w:style w:type="character" w:styleId="Odwoanieprzypisukocowego">
    <w:name w:val="endnote reference"/>
    <w:basedOn w:val="Domylnaczcionkaakapitu"/>
    <w:uiPriority w:val="99"/>
    <w:semiHidden/>
    <w:unhideWhenUsed/>
    <w:rsid w:val="00545478"/>
    <w:rPr>
      <w:vertAlign w:val="superscript"/>
    </w:rPr>
  </w:style>
  <w:style w:type="character" w:customStyle="1" w:styleId="apple-converted-space">
    <w:name w:val="apple-converted-space"/>
    <w:basedOn w:val="Domylnaczcionkaakapitu"/>
    <w:rsid w:val="00AA7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4052">
      <w:bodyDiv w:val="1"/>
      <w:marLeft w:val="0"/>
      <w:marRight w:val="0"/>
      <w:marTop w:val="0"/>
      <w:marBottom w:val="0"/>
      <w:divBdr>
        <w:top w:val="none" w:sz="0" w:space="0" w:color="auto"/>
        <w:left w:val="none" w:sz="0" w:space="0" w:color="auto"/>
        <w:bottom w:val="none" w:sz="0" w:space="0" w:color="auto"/>
        <w:right w:val="none" w:sz="0" w:space="0" w:color="auto"/>
      </w:divBdr>
      <w:divsChild>
        <w:div w:id="1584103119">
          <w:marLeft w:val="0"/>
          <w:marRight w:val="0"/>
          <w:marTop w:val="0"/>
          <w:marBottom w:val="0"/>
          <w:divBdr>
            <w:top w:val="none" w:sz="0" w:space="0" w:color="auto"/>
            <w:left w:val="none" w:sz="0" w:space="0" w:color="auto"/>
            <w:bottom w:val="none" w:sz="0" w:space="0" w:color="auto"/>
            <w:right w:val="none" w:sz="0" w:space="0" w:color="auto"/>
          </w:divBdr>
          <w:divsChild>
            <w:div w:id="871575344">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sChild>
                    <w:div w:id="167251620">
                      <w:marLeft w:val="0"/>
                      <w:marRight w:val="0"/>
                      <w:marTop w:val="0"/>
                      <w:marBottom w:val="0"/>
                      <w:divBdr>
                        <w:top w:val="none" w:sz="0" w:space="0" w:color="auto"/>
                        <w:left w:val="none" w:sz="0" w:space="0" w:color="auto"/>
                        <w:bottom w:val="none" w:sz="0" w:space="0" w:color="auto"/>
                        <w:right w:val="none" w:sz="0" w:space="0" w:color="auto"/>
                      </w:divBdr>
                      <w:divsChild>
                        <w:div w:id="472213094">
                          <w:marLeft w:val="0"/>
                          <w:marRight w:val="0"/>
                          <w:marTop w:val="0"/>
                          <w:marBottom w:val="0"/>
                          <w:divBdr>
                            <w:top w:val="none" w:sz="0" w:space="0" w:color="auto"/>
                            <w:left w:val="none" w:sz="0" w:space="0" w:color="auto"/>
                            <w:bottom w:val="none" w:sz="0" w:space="0" w:color="auto"/>
                            <w:right w:val="none" w:sz="0" w:space="0" w:color="auto"/>
                          </w:divBdr>
                          <w:divsChild>
                            <w:div w:id="1088234826">
                              <w:marLeft w:val="0"/>
                              <w:marRight w:val="0"/>
                              <w:marTop w:val="0"/>
                              <w:marBottom w:val="0"/>
                              <w:divBdr>
                                <w:top w:val="none" w:sz="0" w:space="0" w:color="auto"/>
                                <w:left w:val="none" w:sz="0" w:space="0" w:color="auto"/>
                                <w:bottom w:val="none" w:sz="0" w:space="0" w:color="auto"/>
                                <w:right w:val="none" w:sz="0" w:space="0" w:color="auto"/>
                              </w:divBdr>
                              <w:divsChild>
                                <w:div w:id="656306499">
                                  <w:marLeft w:val="0"/>
                                  <w:marRight w:val="0"/>
                                  <w:marTop w:val="0"/>
                                  <w:marBottom w:val="0"/>
                                  <w:divBdr>
                                    <w:top w:val="none" w:sz="0" w:space="0" w:color="auto"/>
                                    <w:left w:val="none" w:sz="0" w:space="0" w:color="auto"/>
                                    <w:bottom w:val="none" w:sz="0" w:space="0" w:color="auto"/>
                                    <w:right w:val="none" w:sz="0" w:space="0" w:color="auto"/>
                                  </w:divBdr>
                                  <w:divsChild>
                                    <w:div w:id="1882866674">
                                      <w:marLeft w:val="0"/>
                                      <w:marRight w:val="0"/>
                                      <w:marTop w:val="0"/>
                                      <w:marBottom w:val="0"/>
                                      <w:divBdr>
                                        <w:top w:val="none" w:sz="0" w:space="0" w:color="auto"/>
                                        <w:left w:val="none" w:sz="0" w:space="0" w:color="auto"/>
                                        <w:bottom w:val="none" w:sz="0" w:space="0" w:color="auto"/>
                                        <w:right w:val="none" w:sz="0" w:space="0" w:color="auto"/>
                                      </w:divBdr>
                                      <w:divsChild>
                                        <w:div w:id="14955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766613">
          <w:marLeft w:val="0"/>
          <w:marRight w:val="0"/>
          <w:marTop w:val="0"/>
          <w:marBottom w:val="0"/>
          <w:divBdr>
            <w:top w:val="none" w:sz="0" w:space="0" w:color="auto"/>
            <w:left w:val="none" w:sz="0" w:space="0" w:color="auto"/>
            <w:bottom w:val="none" w:sz="0" w:space="0" w:color="auto"/>
            <w:right w:val="none" w:sz="0" w:space="0" w:color="auto"/>
          </w:divBdr>
          <w:divsChild>
            <w:div w:id="587889035">
              <w:marLeft w:val="0"/>
              <w:marRight w:val="0"/>
              <w:marTop w:val="0"/>
              <w:marBottom w:val="0"/>
              <w:divBdr>
                <w:top w:val="none" w:sz="0" w:space="0" w:color="auto"/>
                <w:left w:val="none" w:sz="0" w:space="0" w:color="auto"/>
                <w:bottom w:val="none" w:sz="0" w:space="0" w:color="auto"/>
                <w:right w:val="none" w:sz="0" w:space="0" w:color="auto"/>
              </w:divBdr>
              <w:divsChild>
                <w:div w:id="49037661">
                  <w:marLeft w:val="0"/>
                  <w:marRight w:val="0"/>
                  <w:marTop w:val="0"/>
                  <w:marBottom w:val="0"/>
                  <w:divBdr>
                    <w:top w:val="none" w:sz="0" w:space="0" w:color="auto"/>
                    <w:left w:val="none" w:sz="0" w:space="0" w:color="auto"/>
                    <w:bottom w:val="none" w:sz="0" w:space="0" w:color="auto"/>
                    <w:right w:val="none" w:sz="0" w:space="0" w:color="auto"/>
                  </w:divBdr>
                  <w:divsChild>
                    <w:div w:id="1938177509">
                      <w:marLeft w:val="0"/>
                      <w:marRight w:val="0"/>
                      <w:marTop w:val="0"/>
                      <w:marBottom w:val="0"/>
                      <w:divBdr>
                        <w:top w:val="none" w:sz="0" w:space="0" w:color="auto"/>
                        <w:left w:val="none" w:sz="0" w:space="0" w:color="auto"/>
                        <w:bottom w:val="none" w:sz="0" w:space="0" w:color="auto"/>
                        <w:right w:val="none" w:sz="0" w:space="0" w:color="auto"/>
                      </w:divBdr>
                      <w:divsChild>
                        <w:div w:id="1843473434">
                          <w:marLeft w:val="0"/>
                          <w:marRight w:val="0"/>
                          <w:marTop w:val="0"/>
                          <w:marBottom w:val="0"/>
                          <w:divBdr>
                            <w:top w:val="none" w:sz="0" w:space="0" w:color="auto"/>
                            <w:left w:val="none" w:sz="0" w:space="0" w:color="auto"/>
                            <w:bottom w:val="none" w:sz="0" w:space="0" w:color="auto"/>
                            <w:right w:val="none" w:sz="0" w:space="0" w:color="auto"/>
                          </w:divBdr>
                          <w:divsChild>
                            <w:div w:id="1369525820">
                              <w:marLeft w:val="0"/>
                              <w:marRight w:val="0"/>
                              <w:marTop w:val="0"/>
                              <w:marBottom w:val="0"/>
                              <w:divBdr>
                                <w:top w:val="none" w:sz="0" w:space="0" w:color="auto"/>
                                <w:left w:val="none" w:sz="0" w:space="0" w:color="auto"/>
                                <w:bottom w:val="none" w:sz="0" w:space="0" w:color="auto"/>
                                <w:right w:val="none" w:sz="0" w:space="0" w:color="auto"/>
                              </w:divBdr>
                              <w:divsChild>
                                <w:div w:id="1063139237">
                                  <w:marLeft w:val="0"/>
                                  <w:marRight w:val="0"/>
                                  <w:marTop w:val="0"/>
                                  <w:marBottom w:val="0"/>
                                  <w:divBdr>
                                    <w:top w:val="none" w:sz="0" w:space="0" w:color="auto"/>
                                    <w:left w:val="none" w:sz="0" w:space="0" w:color="auto"/>
                                    <w:bottom w:val="none" w:sz="0" w:space="0" w:color="auto"/>
                                    <w:right w:val="none" w:sz="0" w:space="0" w:color="auto"/>
                                  </w:divBdr>
                                  <w:divsChild>
                                    <w:div w:id="18963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868139">
      <w:bodyDiv w:val="1"/>
      <w:marLeft w:val="0"/>
      <w:marRight w:val="0"/>
      <w:marTop w:val="0"/>
      <w:marBottom w:val="0"/>
      <w:divBdr>
        <w:top w:val="none" w:sz="0" w:space="0" w:color="auto"/>
        <w:left w:val="none" w:sz="0" w:space="0" w:color="auto"/>
        <w:bottom w:val="none" w:sz="0" w:space="0" w:color="auto"/>
        <w:right w:val="none" w:sz="0" w:space="0" w:color="auto"/>
      </w:divBdr>
      <w:divsChild>
        <w:div w:id="806433609">
          <w:marLeft w:val="0"/>
          <w:marRight w:val="0"/>
          <w:marTop w:val="0"/>
          <w:marBottom w:val="0"/>
          <w:divBdr>
            <w:top w:val="none" w:sz="0" w:space="0" w:color="auto"/>
            <w:left w:val="none" w:sz="0" w:space="0" w:color="auto"/>
            <w:bottom w:val="none" w:sz="0" w:space="0" w:color="auto"/>
            <w:right w:val="none" w:sz="0" w:space="0" w:color="auto"/>
          </w:divBdr>
          <w:divsChild>
            <w:div w:id="1503230726">
              <w:marLeft w:val="0"/>
              <w:marRight w:val="0"/>
              <w:marTop w:val="0"/>
              <w:marBottom w:val="0"/>
              <w:divBdr>
                <w:top w:val="none" w:sz="0" w:space="0" w:color="auto"/>
                <w:left w:val="none" w:sz="0" w:space="0" w:color="auto"/>
                <w:bottom w:val="none" w:sz="0" w:space="0" w:color="auto"/>
                <w:right w:val="none" w:sz="0" w:space="0" w:color="auto"/>
              </w:divBdr>
              <w:divsChild>
                <w:div w:id="43413654">
                  <w:marLeft w:val="0"/>
                  <w:marRight w:val="0"/>
                  <w:marTop w:val="0"/>
                  <w:marBottom w:val="0"/>
                  <w:divBdr>
                    <w:top w:val="none" w:sz="0" w:space="0" w:color="auto"/>
                    <w:left w:val="none" w:sz="0" w:space="0" w:color="auto"/>
                    <w:bottom w:val="none" w:sz="0" w:space="0" w:color="auto"/>
                    <w:right w:val="none" w:sz="0" w:space="0" w:color="auto"/>
                  </w:divBdr>
                  <w:divsChild>
                    <w:div w:id="116921839">
                      <w:marLeft w:val="0"/>
                      <w:marRight w:val="0"/>
                      <w:marTop w:val="0"/>
                      <w:marBottom w:val="0"/>
                      <w:divBdr>
                        <w:top w:val="none" w:sz="0" w:space="0" w:color="auto"/>
                        <w:left w:val="none" w:sz="0" w:space="0" w:color="auto"/>
                        <w:bottom w:val="none" w:sz="0" w:space="0" w:color="auto"/>
                        <w:right w:val="none" w:sz="0" w:space="0" w:color="auto"/>
                      </w:divBdr>
                      <w:divsChild>
                        <w:div w:id="586117925">
                          <w:marLeft w:val="0"/>
                          <w:marRight w:val="0"/>
                          <w:marTop w:val="0"/>
                          <w:marBottom w:val="0"/>
                          <w:divBdr>
                            <w:top w:val="none" w:sz="0" w:space="0" w:color="auto"/>
                            <w:left w:val="none" w:sz="0" w:space="0" w:color="auto"/>
                            <w:bottom w:val="none" w:sz="0" w:space="0" w:color="auto"/>
                            <w:right w:val="none" w:sz="0" w:space="0" w:color="auto"/>
                          </w:divBdr>
                          <w:divsChild>
                            <w:div w:id="916406371">
                              <w:marLeft w:val="0"/>
                              <w:marRight w:val="0"/>
                              <w:marTop w:val="0"/>
                              <w:marBottom w:val="0"/>
                              <w:divBdr>
                                <w:top w:val="none" w:sz="0" w:space="0" w:color="auto"/>
                                <w:left w:val="none" w:sz="0" w:space="0" w:color="auto"/>
                                <w:bottom w:val="none" w:sz="0" w:space="0" w:color="auto"/>
                                <w:right w:val="none" w:sz="0" w:space="0" w:color="auto"/>
                              </w:divBdr>
                              <w:divsChild>
                                <w:div w:id="553391617">
                                  <w:marLeft w:val="0"/>
                                  <w:marRight w:val="0"/>
                                  <w:marTop w:val="0"/>
                                  <w:marBottom w:val="0"/>
                                  <w:divBdr>
                                    <w:top w:val="none" w:sz="0" w:space="0" w:color="auto"/>
                                    <w:left w:val="none" w:sz="0" w:space="0" w:color="auto"/>
                                    <w:bottom w:val="none" w:sz="0" w:space="0" w:color="auto"/>
                                    <w:right w:val="none" w:sz="0" w:space="0" w:color="auto"/>
                                  </w:divBdr>
                                  <w:divsChild>
                                    <w:div w:id="16031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377135">
          <w:marLeft w:val="0"/>
          <w:marRight w:val="0"/>
          <w:marTop w:val="0"/>
          <w:marBottom w:val="0"/>
          <w:divBdr>
            <w:top w:val="none" w:sz="0" w:space="0" w:color="auto"/>
            <w:left w:val="none" w:sz="0" w:space="0" w:color="auto"/>
            <w:bottom w:val="none" w:sz="0" w:space="0" w:color="auto"/>
            <w:right w:val="none" w:sz="0" w:space="0" w:color="auto"/>
          </w:divBdr>
          <w:divsChild>
            <w:div w:id="1924411934">
              <w:marLeft w:val="0"/>
              <w:marRight w:val="0"/>
              <w:marTop w:val="0"/>
              <w:marBottom w:val="0"/>
              <w:divBdr>
                <w:top w:val="none" w:sz="0" w:space="0" w:color="auto"/>
                <w:left w:val="none" w:sz="0" w:space="0" w:color="auto"/>
                <w:bottom w:val="none" w:sz="0" w:space="0" w:color="auto"/>
                <w:right w:val="none" w:sz="0" w:space="0" w:color="auto"/>
              </w:divBdr>
              <w:divsChild>
                <w:div w:id="151528196">
                  <w:marLeft w:val="0"/>
                  <w:marRight w:val="0"/>
                  <w:marTop w:val="0"/>
                  <w:marBottom w:val="0"/>
                  <w:divBdr>
                    <w:top w:val="none" w:sz="0" w:space="0" w:color="auto"/>
                    <w:left w:val="none" w:sz="0" w:space="0" w:color="auto"/>
                    <w:bottom w:val="none" w:sz="0" w:space="0" w:color="auto"/>
                    <w:right w:val="none" w:sz="0" w:space="0" w:color="auto"/>
                  </w:divBdr>
                  <w:divsChild>
                    <w:div w:id="1316956977">
                      <w:marLeft w:val="0"/>
                      <w:marRight w:val="0"/>
                      <w:marTop w:val="0"/>
                      <w:marBottom w:val="0"/>
                      <w:divBdr>
                        <w:top w:val="none" w:sz="0" w:space="0" w:color="auto"/>
                        <w:left w:val="none" w:sz="0" w:space="0" w:color="auto"/>
                        <w:bottom w:val="none" w:sz="0" w:space="0" w:color="auto"/>
                        <w:right w:val="none" w:sz="0" w:space="0" w:color="auto"/>
                      </w:divBdr>
                      <w:divsChild>
                        <w:div w:id="124197221">
                          <w:marLeft w:val="0"/>
                          <w:marRight w:val="0"/>
                          <w:marTop w:val="0"/>
                          <w:marBottom w:val="0"/>
                          <w:divBdr>
                            <w:top w:val="none" w:sz="0" w:space="0" w:color="auto"/>
                            <w:left w:val="none" w:sz="0" w:space="0" w:color="auto"/>
                            <w:bottom w:val="none" w:sz="0" w:space="0" w:color="auto"/>
                            <w:right w:val="none" w:sz="0" w:space="0" w:color="auto"/>
                          </w:divBdr>
                          <w:divsChild>
                            <w:div w:id="310985463">
                              <w:marLeft w:val="0"/>
                              <w:marRight w:val="0"/>
                              <w:marTop w:val="0"/>
                              <w:marBottom w:val="0"/>
                              <w:divBdr>
                                <w:top w:val="none" w:sz="0" w:space="0" w:color="auto"/>
                                <w:left w:val="none" w:sz="0" w:space="0" w:color="auto"/>
                                <w:bottom w:val="none" w:sz="0" w:space="0" w:color="auto"/>
                                <w:right w:val="none" w:sz="0" w:space="0" w:color="auto"/>
                              </w:divBdr>
                              <w:divsChild>
                                <w:div w:id="1468207946">
                                  <w:marLeft w:val="0"/>
                                  <w:marRight w:val="0"/>
                                  <w:marTop w:val="0"/>
                                  <w:marBottom w:val="0"/>
                                  <w:divBdr>
                                    <w:top w:val="none" w:sz="0" w:space="0" w:color="auto"/>
                                    <w:left w:val="none" w:sz="0" w:space="0" w:color="auto"/>
                                    <w:bottom w:val="none" w:sz="0" w:space="0" w:color="auto"/>
                                    <w:right w:val="none" w:sz="0" w:space="0" w:color="auto"/>
                                  </w:divBdr>
                                  <w:divsChild>
                                    <w:div w:id="1444226977">
                                      <w:marLeft w:val="0"/>
                                      <w:marRight w:val="0"/>
                                      <w:marTop w:val="0"/>
                                      <w:marBottom w:val="0"/>
                                      <w:divBdr>
                                        <w:top w:val="none" w:sz="0" w:space="0" w:color="auto"/>
                                        <w:left w:val="none" w:sz="0" w:space="0" w:color="auto"/>
                                        <w:bottom w:val="none" w:sz="0" w:space="0" w:color="auto"/>
                                        <w:right w:val="none" w:sz="0" w:space="0" w:color="auto"/>
                                      </w:divBdr>
                                      <w:divsChild>
                                        <w:div w:id="17274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295177">
      <w:bodyDiv w:val="1"/>
      <w:marLeft w:val="0"/>
      <w:marRight w:val="0"/>
      <w:marTop w:val="0"/>
      <w:marBottom w:val="0"/>
      <w:divBdr>
        <w:top w:val="none" w:sz="0" w:space="0" w:color="auto"/>
        <w:left w:val="none" w:sz="0" w:space="0" w:color="auto"/>
        <w:bottom w:val="none" w:sz="0" w:space="0" w:color="auto"/>
        <w:right w:val="none" w:sz="0" w:space="0" w:color="auto"/>
      </w:divBdr>
    </w:div>
    <w:div w:id="430247537">
      <w:bodyDiv w:val="1"/>
      <w:marLeft w:val="0"/>
      <w:marRight w:val="0"/>
      <w:marTop w:val="0"/>
      <w:marBottom w:val="0"/>
      <w:divBdr>
        <w:top w:val="none" w:sz="0" w:space="0" w:color="auto"/>
        <w:left w:val="none" w:sz="0" w:space="0" w:color="auto"/>
        <w:bottom w:val="none" w:sz="0" w:space="0" w:color="auto"/>
        <w:right w:val="none" w:sz="0" w:space="0" w:color="auto"/>
      </w:divBdr>
    </w:div>
    <w:div w:id="566957758">
      <w:bodyDiv w:val="1"/>
      <w:marLeft w:val="0"/>
      <w:marRight w:val="0"/>
      <w:marTop w:val="0"/>
      <w:marBottom w:val="0"/>
      <w:divBdr>
        <w:top w:val="none" w:sz="0" w:space="0" w:color="auto"/>
        <w:left w:val="none" w:sz="0" w:space="0" w:color="auto"/>
        <w:bottom w:val="none" w:sz="0" w:space="0" w:color="auto"/>
        <w:right w:val="none" w:sz="0" w:space="0" w:color="auto"/>
      </w:divBdr>
    </w:div>
    <w:div w:id="567689305">
      <w:bodyDiv w:val="1"/>
      <w:marLeft w:val="0"/>
      <w:marRight w:val="0"/>
      <w:marTop w:val="0"/>
      <w:marBottom w:val="0"/>
      <w:divBdr>
        <w:top w:val="none" w:sz="0" w:space="0" w:color="auto"/>
        <w:left w:val="none" w:sz="0" w:space="0" w:color="auto"/>
        <w:bottom w:val="none" w:sz="0" w:space="0" w:color="auto"/>
        <w:right w:val="none" w:sz="0" w:space="0" w:color="auto"/>
      </w:divBdr>
    </w:div>
    <w:div w:id="666397732">
      <w:bodyDiv w:val="1"/>
      <w:marLeft w:val="0"/>
      <w:marRight w:val="0"/>
      <w:marTop w:val="0"/>
      <w:marBottom w:val="0"/>
      <w:divBdr>
        <w:top w:val="none" w:sz="0" w:space="0" w:color="auto"/>
        <w:left w:val="none" w:sz="0" w:space="0" w:color="auto"/>
        <w:bottom w:val="none" w:sz="0" w:space="0" w:color="auto"/>
        <w:right w:val="none" w:sz="0" w:space="0" w:color="auto"/>
      </w:divBdr>
    </w:div>
    <w:div w:id="709454098">
      <w:bodyDiv w:val="1"/>
      <w:marLeft w:val="0"/>
      <w:marRight w:val="0"/>
      <w:marTop w:val="0"/>
      <w:marBottom w:val="0"/>
      <w:divBdr>
        <w:top w:val="none" w:sz="0" w:space="0" w:color="auto"/>
        <w:left w:val="none" w:sz="0" w:space="0" w:color="auto"/>
        <w:bottom w:val="none" w:sz="0" w:space="0" w:color="auto"/>
        <w:right w:val="none" w:sz="0" w:space="0" w:color="auto"/>
      </w:divBdr>
    </w:div>
    <w:div w:id="958218005">
      <w:bodyDiv w:val="1"/>
      <w:marLeft w:val="0"/>
      <w:marRight w:val="0"/>
      <w:marTop w:val="0"/>
      <w:marBottom w:val="0"/>
      <w:divBdr>
        <w:top w:val="none" w:sz="0" w:space="0" w:color="auto"/>
        <w:left w:val="none" w:sz="0" w:space="0" w:color="auto"/>
        <w:bottom w:val="none" w:sz="0" w:space="0" w:color="auto"/>
        <w:right w:val="none" w:sz="0" w:space="0" w:color="auto"/>
      </w:divBdr>
    </w:div>
    <w:div w:id="1106583440">
      <w:bodyDiv w:val="1"/>
      <w:marLeft w:val="0"/>
      <w:marRight w:val="0"/>
      <w:marTop w:val="0"/>
      <w:marBottom w:val="0"/>
      <w:divBdr>
        <w:top w:val="none" w:sz="0" w:space="0" w:color="auto"/>
        <w:left w:val="none" w:sz="0" w:space="0" w:color="auto"/>
        <w:bottom w:val="none" w:sz="0" w:space="0" w:color="auto"/>
        <w:right w:val="none" w:sz="0" w:space="0" w:color="auto"/>
      </w:divBdr>
    </w:div>
    <w:div w:id="1107045264">
      <w:bodyDiv w:val="1"/>
      <w:marLeft w:val="0"/>
      <w:marRight w:val="0"/>
      <w:marTop w:val="0"/>
      <w:marBottom w:val="0"/>
      <w:divBdr>
        <w:top w:val="none" w:sz="0" w:space="0" w:color="auto"/>
        <w:left w:val="none" w:sz="0" w:space="0" w:color="auto"/>
        <w:bottom w:val="none" w:sz="0" w:space="0" w:color="auto"/>
        <w:right w:val="none" w:sz="0" w:space="0" w:color="auto"/>
      </w:divBdr>
    </w:div>
    <w:div w:id="1381713234">
      <w:bodyDiv w:val="1"/>
      <w:marLeft w:val="0"/>
      <w:marRight w:val="0"/>
      <w:marTop w:val="0"/>
      <w:marBottom w:val="0"/>
      <w:divBdr>
        <w:top w:val="none" w:sz="0" w:space="0" w:color="auto"/>
        <w:left w:val="none" w:sz="0" w:space="0" w:color="auto"/>
        <w:bottom w:val="none" w:sz="0" w:space="0" w:color="auto"/>
        <w:right w:val="none" w:sz="0" w:space="0" w:color="auto"/>
      </w:divBdr>
    </w:div>
    <w:div w:id="1982420841">
      <w:bodyDiv w:val="1"/>
      <w:marLeft w:val="0"/>
      <w:marRight w:val="0"/>
      <w:marTop w:val="0"/>
      <w:marBottom w:val="0"/>
      <w:divBdr>
        <w:top w:val="none" w:sz="0" w:space="0" w:color="auto"/>
        <w:left w:val="none" w:sz="0" w:space="0" w:color="auto"/>
        <w:bottom w:val="none" w:sz="0" w:space="0" w:color="auto"/>
        <w:right w:val="none" w:sz="0" w:space="0" w:color="auto"/>
      </w:divBdr>
    </w:div>
    <w:div w:id="2015306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laudia.rombalska@clearcom.pl"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d4eedba06b772320ad92c4f20419bbfc">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ce818b489b55f6b6a86b6eb6e1ef1868"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D9A3F-4517-4ECF-9A88-8D468DFF3429}">
  <ds:schemaRefs>
    <ds:schemaRef ds:uri="http://schemas.microsoft.com/office/2006/metadata/properties"/>
    <ds:schemaRef ds:uri="http://schemas.microsoft.com/office/infopath/2007/PartnerControls"/>
    <ds:schemaRef ds:uri="8a011db4-53a2-4d1b-82ae-320485071b7a"/>
  </ds:schemaRefs>
</ds:datastoreItem>
</file>

<file path=customXml/itemProps2.xml><?xml version="1.0" encoding="utf-8"?>
<ds:datastoreItem xmlns:ds="http://schemas.openxmlformats.org/officeDocument/2006/customXml" ds:itemID="{ACA24029-489A-4778-BD53-87F2B3818D0B}">
  <ds:schemaRefs>
    <ds:schemaRef ds:uri="http://schemas.microsoft.com/sharepoint/v3/contenttype/forms"/>
  </ds:schemaRefs>
</ds:datastoreItem>
</file>

<file path=customXml/itemProps3.xml><?xml version="1.0" encoding="utf-8"?>
<ds:datastoreItem xmlns:ds="http://schemas.openxmlformats.org/officeDocument/2006/customXml" ds:itemID="{D0D76BAF-96D5-401F-B780-C00FB79D6EFF}">
  <ds:schemaRefs>
    <ds:schemaRef ds:uri="http://schemas.openxmlformats.org/officeDocument/2006/bibliography"/>
  </ds:schemaRefs>
</ds:datastoreItem>
</file>

<file path=customXml/itemProps4.xml><?xml version="1.0" encoding="utf-8"?>
<ds:datastoreItem xmlns:ds="http://schemas.openxmlformats.org/officeDocument/2006/customXml" ds:itemID="{CDE5AB32-3FDA-41A8-8B04-6FF78E5AF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7208</Characters>
  <Application>Microsoft Office Word</Application>
  <DocSecurity>0</DocSecurity>
  <Lines>110</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2026-02-16T17:01:00Z</dcterms:created>
  <dcterms:modified xsi:type="dcterms:W3CDTF">2026-02-16T19:04:00Z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0x01010026332A36832A0A41A9315B265E6415BB</vt:lpwstr>
  </property>
</Properties>
</file>