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Sarens selected to carry out the modernization work for Phu My Fertilizer Plant</w:t>
      </w:r>
      <w:r w:rsidDel="00000000" w:rsidR="00000000" w:rsidRPr="00000000">
        <w:rPr>
          <w:rFonts w:ascii="Calibri" w:cs="Calibri" w:eastAsia="Calibri" w:hAnsi="Calibri"/>
          <w:b w:val="1"/>
          <w:bCs w:val="1"/>
          <w:color w:val="002060"/>
          <w:sz w:val="32"/>
          <w:szCs w:val="32"/>
          <w:rtl w:val="0"/>
        </w:rPr>
        <w:t xml:space="preserve"> </w:t>
      </w:r>
      <w:r w:rsidDel="00000000" w:rsidR="00000000" w:rsidRPr="00000000">
        <w:rPr>
          <w:rFonts w:ascii="Calibri" w:cs="Calibri" w:eastAsia="Calibri" w:hAnsi="Calibri"/>
          <w:b w:val="1"/>
          <w:bCs w:val="1"/>
          <w:color w:val="002060"/>
          <w:sz w:val="32"/>
          <w:szCs w:val="32"/>
          <w:rtl w:val="0"/>
        </w:rPr>
        <w:t xml:space="preserve">2025-2026, ensuring the production of essential fertilizers for agriculture in the Phu My region</w:t>
      </w:r>
    </w:p>
    <w:p w:rsidR="00000000" w:rsidDel="00000000" w:rsidP="00000000" w:rsidRDefault="00000000" w:rsidRPr="00000000" w14:paraId="00000002">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Chemicals Act 2025, effective from 1st January 2026, establishes a robust framework for continuing to attract investment, driving large-scale projects and maintaining sustainable growth in Vietnam's petrochemical industry.</w:t>
      </w:r>
    </w:p>
    <w:p w:rsidR="00000000" w:rsidDel="00000000" w:rsidP="00000000" w:rsidRDefault="00000000" w:rsidRPr="00000000" w14:paraId="00000004">
      <w:pPr>
        <w:spacing w:line="276" w:lineRule="auto"/>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To carry out the project, Sarens deployed its CC6800 crawler crane with a 78-metre SSL, specifically selected for its combination of high lifting capacity and suitability for confined spaces.</w:t>
      </w:r>
    </w:p>
    <w:p w:rsidR="00000000" w:rsidDel="00000000" w:rsidP="00000000" w:rsidRDefault="00000000" w:rsidRPr="00000000" w14:paraId="00000006">
      <w:pPr>
        <w:spacing w:line="276" w:lineRule="auto"/>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lift involved handling plant equipment with an individual weight of 106 tonnes and a total load of 115.6 tonnes, with an operating radius of 23 metres.</w:t>
      </w:r>
    </w:p>
    <w:p w:rsidR="00000000" w:rsidDel="00000000" w:rsidP="00000000" w:rsidRDefault="00000000" w:rsidRPr="00000000" w14:paraId="00000008">
      <w:pPr>
        <w:spacing w:line="276" w:lineRule="auto"/>
        <w:ind w:lef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spacing w:line="276" w:lineRule="auto"/>
        <w:ind w:lef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once again been selected to participate in a major maintenance and modernization project for critical facilities in the Vietnamese petrochemical sector. The company has taken on a key role in the Phu My Fertilizer Turn Around 2025 - 2026 works, a comprehensive plant maintenance project whose main objective is to replace essential equipment, ensuring the stable production of fertilizers that are indispensable for agriculture and promoting social and environmental responsibility in the Phu My region, Ho Chi Minh City. Sarens' previous experience with the client, together with its ability to propose specialized engineering solutions, was decisive in ensuring the efficient and safe execution of the project.</w:t>
      </w:r>
    </w:p>
    <w:p w:rsidR="00000000" w:rsidDel="00000000" w:rsidP="00000000" w:rsidRDefault="00000000" w:rsidRPr="00000000" w14:paraId="0000000B">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During the planning phase, the challenges of the site were carefully assessed, including the limited space and highly flammable conditions of the plant, which required a very specialised technical engineering approach. For this operation, Sarens deployed its CC6800 crawler crane with a 78-metre SSL, specifically selected for its combination of high lifting capacity and suitability for confined spaces. The crane transported all components by road from Hyosung's previous project, completing the transfer in five days, and required seven days for assembly at the plant. Each step of unloading, assembling and positioning the equipment was precisely planned and supervised to minimize risks and ensure that the operation met the strictest safety standards.</w:t>
      </w:r>
    </w:p>
    <w:p w:rsidR="00000000" w:rsidDel="00000000" w:rsidP="00000000" w:rsidRDefault="00000000" w:rsidRPr="00000000" w14:paraId="0000000D">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spacing w:line="276" w:lineRule="auto"/>
        <w:ind w:lef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lift involved handling plant equipment weighing 106 tons individually and 115.6 tons in total, with an operating radius of 23 metres. The lifting procedure was carried out using the upending maneuver with the main CC crane and HC Tailing, followed by slewing to the installation location. More than 10 members of the Sarens team were involved during a month of work in hot and sunny weather conditions, ensuring that the shutdown campaign was completed within the planned schedule. The choice of the </w:t>
      </w:r>
      <w:r w:rsidDel="00000000" w:rsidR="00000000" w:rsidRPr="00000000">
        <w:rPr>
          <w:rFonts w:ascii="Calibri" w:cs="Calibri" w:eastAsia="Calibri" w:hAnsi="Calibri"/>
          <w:color w:val="002060"/>
          <w:rtl w:val="0"/>
        </w:rPr>
        <w:t xml:space="preserve">CC6800 model proved to be </w:t>
      </w:r>
      <w:r w:rsidDel="00000000" w:rsidR="00000000" w:rsidRPr="00000000">
        <w:rPr>
          <w:rFonts w:ascii="Calibri" w:cs="Calibri" w:eastAsia="Calibri" w:hAnsi="Calibri"/>
          <w:color w:val="002060"/>
          <w:rtl w:val="0"/>
        </w:rPr>
        <w:t xml:space="preserve">highly efficient, combining capacity and maneuverability, which allowed the project to be executed safely and quickly in a highly challenging environment.</w:t>
      </w:r>
    </w:p>
    <w:p w:rsidR="00000000" w:rsidDel="00000000" w:rsidP="00000000" w:rsidRDefault="00000000" w:rsidRPr="00000000" w14:paraId="0000000F">
      <w:pPr>
        <w:spacing w:line="276" w:lineRule="auto"/>
        <w:ind w:lef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spacing w:line="276" w:lineRule="auto"/>
        <w:ind w:lef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Vietnam is strategically strengthening its chemical and petrochemical industry as part of its industrialization and economic modernization process. Currently, the chemical sector contributes around 10-11% of industrial GDP and accounts for 13-14% of the total value of the industry, with more than 2,000 companies operating nationwide, contributing significantly to improving domestic production capacity, reducing dependence on imports and expanding Vietnam's participation in global value chains. Between 2022 and 2025, the industry attracted 27 major projects with a combined investment of nearly 100,000 billion VND, ranging from basic chemicals and petrochemicals to industrial gases and high-quality fertilizers, highlighting the boom in the domestic chemical industry.</w:t>
      </w:r>
    </w:p>
    <w:p w:rsidR="00000000" w:rsidDel="00000000" w:rsidP="00000000" w:rsidRDefault="00000000" w:rsidRPr="00000000" w14:paraId="00000011">
      <w:pPr>
        <w:spacing w:line="276" w:lineRule="auto"/>
        <w:ind w:lef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To further stimulate this growth, Vietnam enacted the Chemicals Law 2025, effective from 1st January 2026, which for the first time clearly defines key sectors such as petrochemicals, basic chemicals, high-quality fertilizers and specialized chemical industrial zones. The legislation also introduces strict requirements for chemical safety, incident planning and compliance with safety distances, while promoting green transformation, the circular economy and the use of efficient technologies. These regulatory and structural advances establish a solid framework for attracting investment, driving large-scale projects and maintaining the sustainable growth of the petrochemical industry in Vietnam.</w:t>
      </w:r>
      <w:r w:rsidDel="00000000" w:rsidR="00000000" w:rsidRPr="00000000">
        <w:rPr>
          <w:rtl w:val="0"/>
        </w:rPr>
      </w:r>
    </w:p>
    <w:p w:rsidR="00000000" w:rsidDel="00000000" w:rsidP="00000000" w:rsidRDefault="00000000" w:rsidRPr="00000000" w14:paraId="00000013">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Huynh Nhat Truong, Sarens Project Manager, "the lifting team plays a key role in heavy lifting and equipment relocation activities. Our work requires great precision, strict risk control and close coordination with all parties throughout the project. Our success is due to our solid technical capabilities, disciplined execution and seamless coordination between all team members. Thanks to the coordinated work of all these elements, Sarens continues to position itself as a key player in the growth of the petrochemical industry in Vietnam".</w:t>
      </w:r>
    </w:p>
    <w:p w:rsidR="00000000" w:rsidDel="00000000" w:rsidP="00000000" w:rsidRDefault="00000000" w:rsidRPr="00000000" w14:paraId="00000015">
      <w:pPr>
        <w:spacing w:line="276" w:lineRule="auto"/>
        <w:ind w:hanging="2"/>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spacing w:line="276" w:lineRule="auto"/>
        <w:ind w:hanging="2"/>
        <w:jc w:val="both"/>
        <w:rPr>
          <w:color w:val="2a5e97"/>
        </w:rPr>
      </w:pPr>
      <w:r w:rsidDel="00000000" w:rsidR="00000000" w:rsidRPr="00000000">
        <w:rPr>
          <w:rFonts w:ascii="Calibri" w:cs="Calibri" w:eastAsia="Calibri" w:hAnsi="Calibri"/>
          <w:color w:val="002060"/>
          <w:rtl w:val="0"/>
        </w:rPr>
        <w:t xml:space="preserve">Sarens has more than 60 years of international experience in the development and installation of strategically important projects. The company has been recently involved in the Clean Fuel Project works in Thailand, in the expansion of the S-Oil plant in Ulsan, South Korea, in the construction of the Petroperu refinery in Talara (Peru), and in the Skikda refinery in Algeria among others. Sarens was also commissioned by PTSC M&amp;C for the load out of an LQUP jacket weighing more than 4,500 tons in Vietnam that will be dedicated to the extraction of oil and gas in the Bay of Bengal.</w:t>
      </w:r>
      <w:r w:rsidDel="00000000" w:rsidR="00000000" w:rsidRPr="00000000">
        <w:rPr>
          <w:rtl w:val="0"/>
        </w:rPr>
      </w:r>
    </w:p>
    <w:p w:rsidR="00000000" w:rsidDel="00000000" w:rsidP="00000000" w:rsidRDefault="00000000" w:rsidRPr="00000000" w14:paraId="00000017">
      <w:pPr>
        <w:spacing w:line="276" w:lineRule="auto"/>
        <w:ind w:hanging="2"/>
        <w:rPr>
          <w:color w:val="2a5e97"/>
        </w:rPr>
      </w:pPr>
      <w:r w:rsidDel="00000000" w:rsidR="00000000" w:rsidRPr="00000000">
        <w:rPr>
          <w:rtl w:val="0"/>
        </w:rPr>
      </w:r>
    </w:p>
    <w:p w:rsidR="00000000" w:rsidDel="00000000" w:rsidP="00000000" w:rsidRDefault="00000000" w:rsidRPr="00000000" w14:paraId="00000018">
      <w:pPr>
        <w:spacing w:line="276" w:lineRule="auto"/>
        <w:ind w:hanging="2"/>
        <w:rPr>
          <w:color w:val="2a5e97"/>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About Sarens</w:t>
      </w:r>
    </w:p>
    <w:p w:rsidR="00000000" w:rsidDel="00000000" w:rsidP="00000000" w:rsidRDefault="00000000" w:rsidRPr="00000000" w14:paraId="0000001A">
      <w:pPr>
        <w:spacing w:line="276" w:lineRule="auto"/>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B">
      <w:pPr>
        <w:spacing w:line="276" w:lineRule="auto"/>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w:t>
      </w:r>
    </w:p>
    <w:p w:rsidR="00000000" w:rsidDel="00000000" w:rsidP="00000000" w:rsidRDefault="00000000" w:rsidRPr="00000000" w14:paraId="0000001C">
      <w:pPr>
        <w:spacing w:line="276" w:lineRule="auto"/>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D">
      <w:pPr>
        <w:spacing w:line="276" w:lineRule="auto"/>
        <w:rPr>
          <w:color w:val="2a5e97"/>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 </w:t>
      </w:r>
      <w:hyperlink r:id="rId6">
        <w:r w:rsidDel="00000000" w:rsidR="00000000" w:rsidRPr="00000000">
          <w:rPr>
            <w:rFonts w:ascii="Calibri" w:cs="Calibri" w:eastAsia="Calibri" w:hAnsi="Calibri"/>
            <w:color w:val="002060"/>
            <w:rtl w:val="0"/>
          </w:rPr>
          <w:t xml:space="preserve">https://www.sarens.com/</w:t>
        </w:r>
      </w:hyperlink>
      <w:r w:rsidDel="00000000" w:rsidR="00000000" w:rsidRPr="00000000">
        <w:rPr>
          <w:rtl w:val="0"/>
        </w:rPr>
      </w:r>
    </w:p>
    <w:p w:rsidR="00000000" w:rsidDel="00000000" w:rsidP="00000000" w:rsidRDefault="00000000" w:rsidRPr="00000000" w14:paraId="0000001E">
      <w:pPr>
        <w:spacing w:after="240"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76" w:lineRule="auto"/>
        <w:jc w:val="both"/>
        <w:rPr>
          <w:color w:val="2a5e97"/>
        </w:rPr>
      </w:pPr>
      <w:r w:rsidDel="00000000" w:rsidR="00000000" w:rsidRPr="00000000">
        <w:rPr>
          <w:rtl w:val="0"/>
        </w:rPr>
      </w:r>
    </w:p>
    <w:p w:rsidR="00000000" w:rsidDel="00000000" w:rsidP="00000000" w:rsidRDefault="00000000" w:rsidRPr="00000000" w14:paraId="00000020">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21">
      <w:pPr>
        <w:spacing w:line="276" w:lineRule="auto"/>
        <w:jc w:val="both"/>
        <w:rPr>
          <w:rFonts w:ascii="Calibri" w:cs="Calibri" w:eastAsia="Calibri" w:hAnsi="Calibri"/>
          <w:color w:val="002060"/>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