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A3E6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  <w:r w:rsidRPr="002741B8">
        <w:rPr>
          <w:rFonts w:ascii="Poppins" w:hAnsi="Poppins" w:cs="Poppins"/>
          <w:b/>
          <w:bCs/>
          <w:sz w:val="19"/>
          <w:szCs w:val="19"/>
        </w:rPr>
        <w:t>Oferta TUI Poland będzie dostępna w Wakacje.pl</w:t>
      </w:r>
    </w:p>
    <w:p w14:paraId="189AA2C5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</w:p>
    <w:p w14:paraId="7F632EE9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b/>
          <w:bCs/>
          <w:sz w:val="19"/>
          <w:szCs w:val="19"/>
        </w:rPr>
      </w:pPr>
      <w:r w:rsidRPr="002741B8">
        <w:rPr>
          <w:rFonts w:ascii="Poppins" w:hAnsi="Poppins" w:cs="Poppins"/>
          <w:b/>
          <w:bCs/>
          <w:sz w:val="19"/>
          <w:szCs w:val="19"/>
        </w:rPr>
        <w:t xml:space="preserve">TUI Poland oraz Wakacje.pl wracają do współpracy. 10 lutego 2026 roku przedstawiciele obu firm podpisali umowę partnerską, która otwiera nowy etap relacji biznesowych między spółkami. </w:t>
      </w:r>
    </w:p>
    <w:p w14:paraId="1B0BAE90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</w:p>
    <w:p w14:paraId="2A347EFD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  <w:r w:rsidRPr="002741B8">
        <w:rPr>
          <w:rFonts w:ascii="Poppins" w:hAnsi="Poppins" w:cs="Poppins"/>
          <w:sz w:val="19"/>
          <w:szCs w:val="19"/>
        </w:rPr>
        <w:t xml:space="preserve">Umowa między firmami została podpisana 10 lutego 2026 roku w Warszawie. Sygnatariuszami porozumienia ze strony TUI Poland byli </w:t>
      </w:r>
      <w:r w:rsidRPr="002741B8">
        <w:rPr>
          <w:rFonts w:ascii="Poppins" w:eastAsia="Calibri" w:hAnsi="Poppins" w:cs="Poppins"/>
          <w:sz w:val="19"/>
          <w:szCs w:val="19"/>
        </w:rPr>
        <w:t xml:space="preserve">Marcin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Dymnicki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>, CEO spółki oraz Łukasz Łysiak, CFO i członek zarządu</w:t>
      </w:r>
      <w:r w:rsidRPr="002741B8">
        <w:rPr>
          <w:rFonts w:ascii="Poppins" w:hAnsi="Poppins" w:cs="Poppins"/>
          <w:sz w:val="19"/>
          <w:szCs w:val="19"/>
        </w:rPr>
        <w:t>, natomiast ze strony Wakacje.pl –</w:t>
      </w:r>
      <w:r w:rsidRPr="002741B8">
        <w:rPr>
          <w:rFonts w:ascii="Poppins" w:eastAsia="Calibri" w:hAnsi="Poppins" w:cs="Poppins"/>
          <w:sz w:val="19"/>
          <w:szCs w:val="19"/>
        </w:rPr>
        <w:t xml:space="preserve"> </w:t>
      </w:r>
      <w:r w:rsidRPr="002741B8">
        <w:rPr>
          <w:rFonts w:ascii="Poppins" w:hAnsi="Poppins" w:cs="Poppins"/>
          <w:sz w:val="19"/>
          <w:szCs w:val="19"/>
        </w:rPr>
        <w:t xml:space="preserve">Dariusz </w:t>
      </w:r>
      <w:proofErr w:type="spellStart"/>
      <w:r w:rsidRPr="002741B8">
        <w:rPr>
          <w:rFonts w:ascii="Poppins" w:hAnsi="Poppins" w:cs="Poppins"/>
          <w:sz w:val="19"/>
          <w:szCs w:val="19"/>
        </w:rPr>
        <w:t>Górzny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, CEO spółki oraz Michał Maciąga, CVCO i członek zarządu. </w:t>
      </w:r>
    </w:p>
    <w:p w14:paraId="3AF87DFC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</w:p>
    <w:p w14:paraId="6A0610B9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  <w:r w:rsidRPr="002741B8">
        <w:rPr>
          <w:rFonts w:ascii="Poppins" w:hAnsi="Poppins" w:cs="Poppins"/>
          <w:sz w:val="19"/>
          <w:szCs w:val="19"/>
        </w:rPr>
        <w:t xml:space="preserve">Dokument reguluje zasady współpracy i wspólne cele biznesowe obu spółek. </w:t>
      </w:r>
      <w:r w:rsidRPr="002741B8">
        <w:rPr>
          <w:rFonts w:ascii="Poppins" w:eastAsia="Calibri" w:hAnsi="Poppins" w:cs="Poppins"/>
          <w:sz w:val="19"/>
          <w:szCs w:val="19"/>
        </w:rPr>
        <w:t>Partnerstwo ma charakter długoterminowy</w:t>
      </w:r>
      <w:r w:rsidRPr="002741B8">
        <w:rPr>
          <w:rFonts w:ascii="Poppins" w:hAnsi="Poppins" w:cs="Poppins"/>
          <w:sz w:val="19"/>
          <w:szCs w:val="19"/>
        </w:rPr>
        <w:t>.</w:t>
      </w:r>
    </w:p>
    <w:p w14:paraId="05BC83CB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</w:p>
    <w:p w14:paraId="2C18BC84" w14:textId="77777777" w:rsidR="002127CF" w:rsidRPr="002741B8" w:rsidRDefault="002127CF" w:rsidP="002127CF">
      <w:pPr>
        <w:spacing w:line="257" w:lineRule="auto"/>
        <w:jc w:val="both"/>
        <w:rPr>
          <w:rFonts w:ascii="Poppins" w:hAnsi="Poppins" w:cs="Poppins"/>
          <w:sz w:val="19"/>
          <w:szCs w:val="19"/>
          <w:highlight w:val="yellow"/>
        </w:rPr>
      </w:pPr>
      <w:r w:rsidRPr="002741B8">
        <w:rPr>
          <w:rFonts w:ascii="Poppins" w:hAnsi="Poppins" w:cs="Poppins"/>
          <w:color w:val="000000" w:themeColor="text1"/>
          <w:sz w:val="19"/>
          <w:szCs w:val="19"/>
        </w:rPr>
        <w:t>–</w:t>
      </w:r>
      <w:r w:rsidRPr="002741B8">
        <w:rPr>
          <w:rFonts w:ascii="Poppins" w:eastAsia="Calibri" w:hAnsi="Poppins" w:cs="Poppins"/>
          <w:color w:val="000000" w:themeColor="text1"/>
          <w:sz w:val="19"/>
          <w:szCs w:val="19"/>
        </w:rPr>
        <w:t xml:space="preserve"> Powrót do współpracy po kilkuletniej przerwie to efekt dojrzałych rozmów, których sukces był możliwy dzięki wspólnej trosce o satysfakcję klientów oraz strategicznemu spojrzeniu na kierunek rozwoju naszego rynku. Podpisana umowa opiera się na wzajemnym zrozumieniu celów biznesowych stron, co tworzy solidne fundamenty do długofalowych działań. W Wakacje.pl wierzymy, że najważniejsze są doświadczenia klienta. Zapewnia je przede wszystkim możliwie najszersza i wysokiej jakości oferta. Powrót do współpracy z TUI sprawia,</w:t>
      </w:r>
      <w:r w:rsidRPr="002741B8" w:rsidDel="6F54D321">
        <w:rPr>
          <w:rFonts w:ascii="Poppins" w:eastAsia="Calibri" w:hAnsi="Poppins" w:cs="Poppins"/>
          <w:color w:val="000000" w:themeColor="text1"/>
          <w:sz w:val="19"/>
          <w:szCs w:val="19"/>
        </w:rPr>
        <w:t xml:space="preserve"> </w:t>
      </w:r>
      <w:r w:rsidRPr="002741B8">
        <w:rPr>
          <w:rFonts w:ascii="Poppins" w:eastAsia="Calibri" w:hAnsi="Poppins" w:cs="Poppins"/>
          <w:color w:val="000000" w:themeColor="text1"/>
          <w:sz w:val="19"/>
          <w:szCs w:val="19"/>
        </w:rPr>
        <w:t>że</w:t>
      </w:r>
      <w:r w:rsidRPr="002741B8" w:rsidDel="6F54D321">
        <w:rPr>
          <w:rFonts w:ascii="Poppins" w:eastAsia="Calibri" w:hAnsi="Poppins" w:cs="Poppins"/>
          <w:color w:val="000000" w:themeColor="text1"/>
          <w:sz w:val="19"/>
          <w:szCs w:val="19"/>
        </w:rPr>
        <w:t xml:space="preserve"> </w:t>
      </w:r>
      <w:r w:rsidRPr="002741B8">
        <w:rPr>
          <w:rFonts w:ascii="Poppins" w:eastAsia="Calibri" w:hAnsi="Poppins" w:cs="Poppins"/>
          <w:color w:val="000000" w:themeColor="text1"/>
          <w:sz w:val="19"/>
          <w:szCs w:val="19"/>
        </w:rPr>
        <w:t xml:space="preserve">oferta Wakacje.pl w pełni odzwierciedla polski rynek </w:t>
      </w:r>
      <w:r w:rsidRPr="002741B8">
        <w:rPr>
          <w:rFonts w:ascii="Poppins" w:hAnsi="Poppins" w:cs="Poppins"/>
          <w:sz w:val="19"/>
          <w:szCs w:val="19"/>
        </w:rPr>
        <w:t xml:space="preserve">– mówi Dariusz </w:t>
      </w:r>
      <w:proofErr w:type="spellStart"/>
      <w:r w:rsidRPr="002741B8">
        <w:rPr>
          <w:rFonts w:ascii="Poppins" w:hAnsi="Poppins" w:cs="Poppins"/>
          <w:sz w:val="19"/>
          <w:szCs w:val="19"/>
        </w:rPr>
        <w:t>Górzny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, prezes Wakacje.pl. </w:t>
      </w:r>
    </w:p>
    <w:p w14:paraId="4C04EF84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</w:p>
    <w:p w14:paraId="74657371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  <w:r w:rsidRPr="002741B8">
        <w:rPr>
          <w:rFonts w:ascii="Poppins" w:hAnsi="Poppins" w:cs="Poppins"/>
          <w:sz w:val="19"/>
          <w:szCs w:val="19"/>
        </w:rPr>
        <w:t>–</w:t>
      </w:r>
      <w:r w:rsidRPr="002741B8">
        <w:rPr>
          <w:rFonts w:ascii="Poppins" w:eastAsia="Calibri" w:hAnsi="Poppins" w:cs="Poppins"/>
          <w:sz w:val="19"/>
          <w:szCs w:val="19"/>
        </w:rPr>
        <w:t xml:space="preserve"> </w:t>
      </w:r>
      <w:r w:rsidRPr="002741B8">
        <w:rPr>
          <w:rFonts w:ascii="Poppins" w:hAnsi="Poppins" w:cs="Poppins"/>
          <w:sz w:val="19"/>
          <w:szCs w:val="19"/>
        </w:rPr>
        <w:t xml:space="preserve">Strategia dystrybucji TUI jest bardzo dobrze przemyślana. Decyzję o tym, z kim w tym zakresie współpracujemy, podejmujemy na podstawie wymiernych wskaźników, pozwalających realizować nam nasze cele biznesowe. Stawiamy zarówno na sprzedaż online jak i offline, bo kanały te w dalszym ciągu są wobec siebie komplementarne. Wakacje.pl poprzez swój model biznesowy gwarantują dotarcie zarówno do klientów kupujących przez </w:t>
      </w:r>
      <w:proofErr w:type="spellStart"/>
      <w:r w:rsidRPr="002741B8">
        <w:rPr>
          <w:rFonts w:ascii="Poppins" w:hAnsi="Poppins" w:cs="Poppins"/>
          <w:sz w:val="19"/>
          <w:szCs w:val="19"/>
        </w:rPr>
        <w:t>internet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, jak i do tych, którzy chcą skonsultować swój wybór z doradcą turystycznym. Jestem przekonany, że współpraca, którą właśnie na nowo rozpoczynamy, będzie owocna – dodaje Marcin </w:t>
      </w:r>
      <w:proofErr w:type="spellStart"/>
      <w:r w:rsidRPr="002741B8">
        <w:rPr>
          <w:rFonts w:ascii="Poppins" w:hAnsi="Poppins" w:cs="Poppins"/>
          <w:sz w:val="19"/>
          <w:szCs w:val="19"/>
        </w:rPr>
        <w:t>Dymnicki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, prezes TUI Poland. </w:t>
      </w:r>
    </w:p>
    <w:p w14:paraId="730AA3BE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</w:p>
    <w:p w14:paraId="7A38AD3A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</w:rPr>
      </w:pPr>
      <w:r w:rsidRPr="002741B8">
        <w:rPr>
          <w:rFonts w:ascii="Poppins" w:hAnsi="Poppins" w:cs="Poppins"/>
          <w:sz w:val="19"/>
          <w:szCs w:val="19"/>
        </w:rPr>
        <w:t xml:space="preserve">Podpisanie umowy oznacza inicjację integracji technologicznej prowadzącej do implementacji oferty TUI w systemach sprzedażowych Wakacje.pl. Klienci </w:t>
      </w:r>
      <w:proofErr w:type="spellStart"/>
      <w:r w:rsidRPr="002741B8">
        <w:rPr>
          <w:rFonts w:ascii="Poppins" w:hAnsi="Poppins" w:cs="Poppins"/>
          <w:sz w:val="19"/>
          <w:szCs w:val="19"/>
        </w:rPr>
        <w:t>multiagenta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 zyskają możliwość rezerwacji wycieczek touroperatora w ciągu kilku najbliższych miesięcy. Oferta TUI będzie dostępna we wszystkich kanałach sprzedaży Wakacje.pl, obejmujących aplikację mobilną, stronę internetową wakacje.pl, </w:t>
      </w:r>
      <w:proofErr w:type="spellStart"/>
      <w:r w:rsidRPr="002741B8">
        <w:rPr>
          <w:rFonts w:ascii="Poppins" w:hAnsi="Poppins" w:cs="Poppins"/>
          <w:sz w:val="19"/>
          <w:szCs w:val="19"/>
        </w:rPr>
        <w:t>call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 </w:t>
      </w:r>
      <w:proofErr w:type="spellStart"/>
      <w:r w:rsidRPr="002741B8">
        <w:rPr>
          <w:rFonts w:ascii="Poppins" w:hAnsi="Poppins" w:cs="Poppins"/>
          <w:sz w:val="19"/>
          <w:szCs w:val="19"/>
        </w:rPr>
        <w:t>center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 oraz wybrane punkty sprzedaży stacjonarnej.</w:t>
      </w:r>
    </w:p>
    <w:p w14:paraId="6B5A77FD" w14:textId="77777777" w:rsidR="002127CF" w:rsidRPr="002741B8" w:rsidRDefault="002127CF" w:rsidP="002127CF">
      <w:pPr>
        <w:spacing w:line="257" w:lineRule="auto"/>
        <w:jc w:val="both"/>
        <w:rPr>
          <w:rFonts w:ascii="Poppins" w:eastAsia="Calibri" w:hAnsi="Poppins" w:cs="Poppins"/>
          <w:sz w:val="19"/>
          <w:szCs w:val="19"/>
        </w:rPr>
      </w:pPr>
    </w:p>
    <w:p w14:paraId="08BA10BC" w14:textId="77777777" w:rsidR="002127CF" w:rsidRPr="002741B8" w:rsidRDefault="002127CF" w:rsidP="002127CF">
      <w:pPr>
        <w:spacing w:line="257" w:lineRule="auto"/>
        <w:jc w:val="both"/>
        <w:rPr>
          <w:rFonts w:ascii="Poppins" w:eastAsia="Calibri" w:hAnsi="Poppins" w:cs="Poppins"/>
          <w:sz w:val="19"/>
          <w:szCs w:val="19"/>
        </w:rPr>
      </w:pPr>
      <w:r w:rsidRPr="002741B8">
        <w:rPr>
          <w:rFonts w:ascii="Poppins" w:hAnsi="Poppins" w:cs="Poppins"/>
          <w:sz w:val="19"/>
          <w:szCs w:val="19"/>
        </w:rPr>
        <w:t xml:space="preserve">Nawiązanie współpracy w Polsce z marką Wakacje.pl powoduje, że TUI </w:t>
      </w:r>
      <w:proofErr w:type="spellStart"/>
      <w:r w:rsidRPr="002741B8">
        <w:rPr>
          <w:rFonts w:ascii="Poppins" w:hAnsi="Poppins" w:cs="Poppins"/>
          <w:sz w:val="19"/>
          <w:szCs w:val="19"/>
        </w:rPr>
        <w:t>Group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 oraz WP Holding współpracują na wszystkich rynkach, na których obecne są w turystyce pakietowej. Spółka TUI </w:t>
      </w:r>
      <w:proofErr w:type="spellStart"/>
      <w:r w:rsidRPr="002741B8">
        <w:rPr>
          <w:rFonts w:ascii="Poppins" w:hAnsi="Poppins" w:cs="Poppins"/>
          <w:sz w:val="19"/>
          <w:szCs w:val="19"/>
        </w:rPr>
        <w:t>Deutschland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 współpracuje z marką </w:t>
      </w:r>
      <w:r w:rsidRPr="002741B8">
        <w:rPr>
          <w:rFonts w:ascii="Poppins" w:eastAsia="Calibri" w:hAnsi="Poppins" w:cs="Poppins"/>
          <w:sz w:val="19"/>
          <w:szCs w:val="19"/>
        </w:rPr>
        <w:t>Ab-in-den-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Urlaub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 xml:space="preserve"> </w:t>
      </w:r>
      <w:r w:rsidRPr="002741B8">
        <w:rPr>
          <w:rFonts w:ascii="Poppins" w:hAnsi="Poppins" w:cs="Poppins"/>
          <w:sz w:val="19"/>
          <w:szCs w:val="19"/>
        </w:rPr>
        <w:t xml:space="preserve">w regionie DACH, a TUI Poland z markami Wakacje.pl, Travelplanet.pl oraz </w:t>
      </w:r>
      <w:proofErr w:type="spellStart"/>
      <w:r w:rsidRPr="002741B8">
        <w:rPr>
          <w:rFonts w:ascii="Poppins" w:hAnsi="Poppins" w:cs="Poppins"/>
          <w:sz w:val="19"/>
          <w:szCs w:val="19"/>
        </w:rPr>
        <w:t>Invia</w:t>
      </w:r>
      <w:proofErr w:type="spellEnd"/>
      <w:r w:rsidRPr="002741B8">
        <w:rPr>
          <w:rFonts w:ascii="Poppins" w:hAnsi="Poppins" w:cs="Poppins"/>
          <w:sz w:val="19"/>
          <w:szCs w:val="19"/>
        </w:rPr>
        <w:t xml:space="preserve"> (CZ, SK, HU) w regionie CEE, które od 2025 roku prowadzone są przez Zespół Zarządzający odpowiadający wcześniej za Wakacje.pl. </w:t>
      </w:r>
    </w:p>
    <w:p w14:paraId="6520BE75" w14:textId="77777777" w:rsidR="002127CF" w:rsidRPr="002741B8" w:rsidRDefault="002127CF" w:rsidP="002127CF">
      <w:pPr>
        <w:spacing w:line="257" w:lineRule="auto"/>
        <w:jc w:val="both"/>
        <w:rPr>
          <w:rFonts w:ascii="Poppins" w:eastAsia="Calibri" w:hAnsi="Poppins" w:cs="Poppins"/>
          <w:sz w:val="19"/>
          <w:szCs w:val="19"/>
        </w:rPr>
      </w:pPr>
    </w:p>
    <w:p w14:paraId="5675D771" w14:textId="77777777" w:rsidR="002127CF" w:rsidRPr="002741B8" w:rsidRDefault="002127CF">
      <w:pPr>
        <w:rPr>
          <w:rFonts w:ascii="Poppins" w:hAnsi="Poppins" w:cs="Poppins"/>
          <w:sz w:val="19"/>
          <w:szCs w:val="19"/>
          <w:u w:val="single"/>
        </w:rPr>
      </w:pPr>
      <w:r w:rsidRPr="002741B8">
        <w:rPr>
          <w:rFonts w:ascii="Poppins" w:hAnsi="Poppins" w:cs="Poppins"/>
          <w:sz w:val="19"/>
          <w:szCs w:val="19"/>
          <w:u w:val="single"/>
        </w:rPr>
        <w:br w:type="page"/>
      </w:r>
    </w:p>
    <w:p w14:paraId="34377741" w14:textId="0D24C3BD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  <w:u w:val="single"/>
        </w:rPr>
      </w:pPr>
      <w:r w:rsidRPr="002741B8">
        <w:rPr>
          <w:rFonts w:ascii="Poppins" w:hAnsi="Poppins" w:cs="Poppins"/>
          <w:sz w:val="19"/>
          <w:szCs w:val="19"/>
          <w:u w:val="single"/>
        </w:rPr>
        <w:lastRenderedPageBreak/>
        <w:t>O Wakacje.pl</w:t>
      </w:r>
    </w:p>
    <w:p w14:paraId="4EE6CFE7" w14:textId="77777777" w:rsidR="002127CF" w:rsidRPr="002741B8" w:rsidRDefault="002127CF" w:rsidP="002127CF">
      <w:pPr>
        <w:spacing w:line="240" w:lineRule="auto"/>
        <w:jc w:val="both"/>
        <w:rPr>
          <w:rFonts w:ascii="Poppins" w:eastAsia="Calibri" w:hAnsi="Poppins" w:cs="Poppins"/>
          <w:sz w:val="19"/>
          <w:szCs w:val="19"/>
        </w:rPr>
      </w:pPr>
    </w:p>
    <w:p w14:paraId="07C2C237" w14:textId="77777777" w:rsidR="002127CF" w:rsidRPr="002741B8" w:rsidRDefault="002127CF" w:rsidP="002127CF">
      <w:pPr>
        <w:spacing w:line="240" w:lineRule="auto"/>
        <w:jc w:val="both"/>
        <w:rPr>
          <w:rFonts w:ascii="Poppins" w:eastAsia="Calibri" w:hAnsi="Poppins" w:cs="Poppins"/>
          <w:sz w:val="19"/>
          <w:szCs w:val="19"/>
        </w:rPr>
      </w:pPr>
      <w:r w:rsidRPr="002741B8">
        <w:rPr>
          <w:rFonts w:ascii="Poppins" w:eastAsia="Calibri" w:hAnsi="Poppins" w:cs="Poppins"/>
          <w:sz w:val="19"/>
          <w:szCs w:val="19"/>
        </w:rPr>
        <w:t xml:space="preserve">Wakacje.pl S.A. to lider rynku OTA w Polsce i jeden z największych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multiagentów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 xml:space="preserve"> turystycznych w Europie Środkowo-Wschodniej. Umożliwia porównywanie i rezerwację wyjazdów poprzez cztery kanały sprzedaży: stronę internetową wakacje.pl, aplikację mobilną,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call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 xml:space="preserve">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center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 xml:space="preserve">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lot+hotel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 xml:space="preserve">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Trends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 xml:space="preserve">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Awards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 xml:space="preserve"> 2024, TOP Marka Lauru Konsumenta 2022.</w:t>
      </w:r>
    </w:p>
    <w:p w14:paraId="55A15DAB" w14:textId="77777777" w:rsidR="002127CF" w:rsidRPr="002741B8" w:rsidRDefault="002127CF" w:rsidP="002127CF">
      <w:pPr>
        <w:spacing w:line="240" w:lineRule="auto"/>
        <w:jc w:val="both"/>
        <w:rPr>
          <w:rFonts w:ascii="Poppins" w:eastAsia="Calibri" w:hAnsi="Poppins" w:cs="Poppins"/>
          <w:sz w:val="19"/>
          <w:szCs w:val="19"/>
        </w:rPr>
      </w:pPr>
      <w:r w:rsidRPr="002741B8">
        <w:rPr>
          <w:rFonts w:ascii="Poppins" w:eastAsia="Calibri" w:hAnsi="Poppins" w:cs="Poppins"/>
          <w:sz w:val="19"/>
          <w:szCs w:val="19"/>
        </w:rPr>
        <w:t xml:space="preserve">Od 2015 roku Wakacje.pl są częścią Wirtualna Polska Holding; a w 2025 zintegrowały zarządzanie w regionie CEE w jednej grupie z markami Travelplanet.pl i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Invia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 xml:space="preserve"> (CZ, SK, HU).  </w:t>
      </w:r>
    </w:p>
    <w:p w14:paraId="2A9350F9" w14:textId="77777777" w:rsidR="002127CF" w:rsidRPr="002741B8" w:rsidRDefault="002127CF" w:rsidP="002127CF">
      <w:pPr>
        <w:spacing w:line="240" w:lineRule="auto"/>
        <w:jc w:val="both"/>
        <w:rPr>
          <w:rFonts w:ascii="Poppins" w:eastAsia="Calibri" w:hAnsi="Poppins" w:cs="Poppins"/>
          <w:sz w:val="19"/>
          <w:szCs w:val="19"/>
        </w:rPr>
      </w:pPr>
    </w:p>
    <w:p w14:paraId="709630DA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  <w:u w:val="single"/>
        </w:rPr>
      </w:pPr>
      <w:r w:rsidRPr="002741B8">
        <w:rPr>
          <w:rFonts w:ascii="Poppins" w:hAnsi="Poppins" w:cs="Poppins"/>
          <w:sz w:val="19"/>
          <w:szCs w:val="19"/>
          <w:u w:val="single"/>
        </w:rPr>
        <w:t>O TUI Poland:</w:t>
      </w:r>
    </w:p>
    <w:p w14:paraId="4CDD1793" w14:textId="77777777" w:rsidR="002127CF" w:rsidRPr="002741B8" w:rsidRDefault="002127CF" w:rsidP="002127CF">
      <w:pPr>
        <w:spacing w:line="240" w:lineRule="auto"/>
        <w:jc w:val="both"/>
        <w:rPr>
          <w:rFonts w:ascii="Poppins" w:hAnsi="Poppins" w:cs="Poppins"/>
          <w:sz w:val="19"/>
          <w:szCs w:val="19"/>
          <w:u w:val="single"/>
        </w:rPr>
      </w:pPr>
    </w:p>
    <w:p w14:paraId="5089FA63" w14:textId="6103516F" w:rsidR="00CF70B3" w:rsidRPr="002741B8" w:rsidRDefault="002127CF" w:rsidP="002741B8">
      <w:pPr>
        <w:spacing w:line="240" w:lineRule="auto"/>
        <w:jc w:val="both"/>
        <w:rPr>
          <w:rFonts w:ascii="Poppins" w:eastAsia="Calibri" w:hAnsi="Poppins" w:cs="Poppins"/>
          <w:sz w:val="19"/>
          <w:szCs w:val="19"/>
        </w:rPr>
      </w:pPr>
      <w:r w:rsidRPr="002741B8">
        <w:rPr>
          <w:rFonts w:ascii="Poppins" w:eastAsia="Calibri" w:hAnsi="Poppins" w:cs="Poppins"/>
          <w:sz w:val="19"/>
          <w:szCs w:val="19"/>
        </w:rPr>
        <w:t xml:space="preserve">TUI Poland jest liderem rynku turystyki wyjazdowej w Polsce. Spółka jest częścią holdingu turystycznego TUI </w:t>
      </w:r>
      <w:proofErr w:type="spellStart"/>
      <w:r w:rsidRPr="002741B8">
        <w:rPr>
          <w:rFonts w:ascii="Poppins" w:eastAsia="Calibri" w:hAnsi="Poppins" w:cs="Poppins"/>
          <w:sz w:val="19"/>
          <w:szCs w:val="19"/>
        </w:rPr>
        <w:t>Group</w:t>
      </w:r>
      <w:proofErr w:type="spellEnd"/>
      <w:r w:rsidRPr="002741B8">
        <w:rPr>
          <w:rFonts w:ascii="Poppins" w:eastAsia="Calibri" w:hAnsi="Poppins" w:cs="Poppins"/>
          <w:sz w:val="19"/>
          <w:szCs w:val="19"/>
        </w:rPr>
        <w:t>. Grupa TUI poprzez spółki własne i joint venture zajmuje pozycję lidera w branży turystycznej na większości rynków europejskich. Szerokie portfolio grupy obejmuje touroperatorów, linie lotnicze, statki wycieczkowe oraz sieci hotelowe we wszystkich głównych wakacyjnych destynacjach na całym świecie.</w:t>
      </w:r>
    </w:p>
    <w:sectPr w:rsidR="00CF70B3" w:rsidRPr="002741B8" w:rsidSect="00B86C95">
      <w:headerReference w:type="default" r:id="rId8"/>
      <w:footerReference w:type="default" r:id="rId9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60DC" w14:textId="77777777" w:rsidR="005B7C3F" w:rsidRDefault="005B7C3F">
      <w:pPr>
        <w:spacing w:line="240" w:lineRule="auto"/>
      </w:pPr>
      <w:r>
        <w:separator/>
      </w:r>
    </w:p>
  </w:endnote>
  <w:endnote w:type="continuationSeparator" w:id="0">
    <w:p w14:paraId="0300AEB9" w14:textId="77777777" w:rsidR="005B7C3F" w:rsidRDefault="005B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2A8614D8">
          <wp:simplePos x="0" y="0"/>
          <wp:positionH relativeFrom="column">
            <wp:posOffset>-899160</wp:posOffset>
          </wp:positionH>
          <wp:positionV relativeFrom="paragraph">
            <wp:posOffset>-720725</wp:posOffset>
          </wp:positionV>
          <wp:extent cx="7522269" cy="878840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t="70752" r="2266"/>
                  <a:stretch>
                    <a:fillRect/>
                  </a:stretch>
                </pic:blipFill>
                <pic:spPr bwMode="auto">
                  <a:xfrm>
                    <a:off x="0" y="0"/>
                    <a:ext cx="7523849" cy="879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31CB" w14:textId="77777777" w:rsidR="005B7C3F" w:rsidRDefault="005B7C3F">
      <w:pPr>
        <w:spacing w:line="240" w:lineRule="auto"/>
      </w:pPr>
      <w:r>
        <w:separator/>
      </w:r>
    </w:p>
  </w:footnote>
  <w:footnote w:type="continuationSeparator" w:id="0">
    <w:p w14:paraId="3B18C6A5" w14:textId="77777777" w:rsidR="005B7C3F" w:rsidRDefault="005B7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321B"/>
    <w:multiLevelType w:val="hybridMultilevel"/>
    <w:tmpl w:val="FFFFFFFF"/>
    <w:lvl w:ilvl="0" w:tplc="D53CFB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D0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6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5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1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28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C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25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60600"/>
    <w:multiLevelType w:val="hybridMultilevel"/>
    <w:tmpl w:val="FFFFFFFF"/>
    <w:lvl w:ilvl="0" w:tplc="5934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1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3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3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6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E4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8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0E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395E1"/>
    <w:multiLevelType w:val="hybridMultilevel"/>
    <w:tmpl w:val="FFFFFFFF"/>
    <w:lvl w:ilvl="0" w:tplc="50A66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B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EB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41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3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C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5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8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0C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BCA61"/>
    <w:multiLevelType w:val="hybridMultilevel"/>
    <w:tmpl w:val="FFFFFFFF"/>
    <w:lvl w:ilvl="0" w:tplc="13620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C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44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44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4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E3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3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AC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0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B280"/>
    <w:multiLevelType w:val="hybridMultilevel"/>
    <w:tmpl w:val="FFFFFFFF"/>
    <w:lvl w:ilvl="0" w:tplc="ED4AC1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0EA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C0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C9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8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C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47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E2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A338C"/>
    <w:multiLevelType w:val="hybridMultilevel"/>
    <w:tmpl w:val="FFFFFFFF"/>
    <w:lvl w:ilvl="0" w:tplc="0D20C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4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2C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EC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C1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00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A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F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00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10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8"/>
  </w:num>
  <w:num w:numId="5" w16cid:durableId="1755471317">
    <w:abstractNumId w:val="11"/>
  </w:num>
  <w:num w:numId="6" w16cid:durableId="210531767">
    <w:abstractNumId w:val="1"/>
  </w:num>
  <w:num w:numId="7" w16cid:durableId="1799641528">
    <w:abstractNumId w:val="3"/>
  </w:num>
  <w:num w:numId="8" w16cid:durableId="1609313446">
    <w:abstractNumId w:val="5"/>
  </w:num>
  <w:num w:numId="9" w16cid:durableId="1754161140">
    <w:abstractNumId w:val="4"/>
  </w:num>
  <w:num w:numId="10" w16cid:durableId="112022314">
    <w:abstractNumId w:val="6"/>
  </w:num>
  <w:num w:numId="11" w16cid:durableId="828785942">
    <w:abstractNumId w:val="9"/>
  </w:num>
  <w:num w:numId="12" w16cid:durableId="901984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07581"/>
    <w:rsid w:val="00063051"/>
    <w:rsid w:val="000A0C4A"/>
    <w:rsid w:val="000D584C"/>
    <w:rsid w:val="000E1F96"/>
    <w:rsid w:val="000F1446"/>
    <w:rsid w:val="0010498B"/>
    <w:rsid w:val="00137BA2"/>
    <w:rsid w:val="00140A59"/>
    <w:rsid w:val="00154345"/>
    <w:rsid w:val="0017424B"/>
    <w:rsid w:val="001A351D"/>
    <w:rsid w:val="001D1E8C"/>
    <w:rsid w:val="001F4E38"/>
    <w:rsid w:val="0020025C"/>
    <w:rsid w:val="002127CF"/>
    <w:rsid w:val="00226D9C"/>
    <w:rsid w:val="00242D6E"/>
    <w:rsid w:val="00251D73"/>
    <w:rsid w:val="002612BE"/>
    <w:rsid w:val="002741B8"/>
    <w:rsid w:val="00293BCD"/>
    <w:rsid w:val="002B3C90"/>
    <w:rsid w:val="002B62DD"/>
    <w:rsid w:val="0032615B"/>
    <w:rsid w:val="003618F6"/>
    <w:rsid w:val="003A37A5"/>
    <w:rsid w:val="003B11B2"/>
    <w:rsid w:val="00404086"/>
    <w:rsid w:val="004055E7"/>
    <w:rsid w:val="00441BAF"/>
    <w:rsid w:val="004726C1"/>
    <w:rsid w:val="0048032D"/>
    <w:rsid w:val="00480454"/>
    <w:rsid w:val="00483CDB"/>
    <w:rsid w:val="004E2645"/>
    <w:rsid w:val="004F169B"/>
    <w:rsid w:val="004F5162"/>
    <w:rsid w:val="00503A36"/>
    <w:rsid w:val="00522BA0"/>
    <w:rsid w:val="00584D84"/>
    <w:rsid w:val="005A4DED"/>
    <w:rsid w:val="005B54ED"/>
    <w:rsid w:val="005B7C3F"/>
    <w:rsid w:val="00630AF0"/>
    <w:rsid w:val="006F0740"/>
    <w:rsid w:val="007312CD"/>
    <w:rsid w:val="00775079"/>
    <w:rsid w:val="00775AAE"/>
    <w:rsid w:val="00780797"/>
    <w:rsid w:val="00781090"/>
    <w:rsid w:val="00790A90"/>
    <w:rsid w:val="007A1E2D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901852"/>
    <w:rsid w:val="00937CB4"/>
    <w:rsid w:val="00965883"/>
    <w:rsid w:val="009B69FD"/>
    <w:rsid w:val="009D16E7"/>
    <w:rsid w:val="009F0C0D"/>
    <w:rsid w:val="00A16461"/>
    <w:rsid w:val="00A16B01"/>
    <w:rsid w:val="00A47B82"/>
    <w:rsid w:val="00A609D2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2DCB"/>
    <w:rsid w:val="00C773C7"/>
    <w:rsid w:val="00C960CE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EF7C58"/>
    <w:rsid w:val="00F221E1"/>
    <w:rsid w:val="00F52543"/>
    <w:rsid w:val="00F6659F"/>
    <w:rsid w:val="00F77B1D"/>
    <w:rsid w:val="00FA563A"/>
    <w:rsid w:val="00FA64C0"/>
    <w:rsid w:val="00FB4317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  <w:style w:type="paragraph" w:customStyle="1" w:styleId="paragraph">
    <w:name w:val="paragraph"/>
    <w:basedOn w:val="Normalny"/>
    <w:rsid w:val="0000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007581"/>
  </w:style>
  <w:style w:type="character" w:customStyle="1" w:styleId="eop">
    <w:name w:val="eop"/>
    <w:basedOn w:val="Domylnaczcionkaakapitu"/>
    <w:rsid w:val="0000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83D6-78A2-4682-BA0D-AD316A15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29</cp:revision>
  <cp:lastPrinted>2021-07-13T09:07:00Z</cp:lastPrinted>
  <dcterms:created xsi:type="dcterms:W3CDTF">2025-08-11T06:34:00Z</dcterms:created>
  <dcterms:modified xsi:type="dcterms:W3CDTF">2026-02-10T15:09:00Z</dcterms:modified>
</cp:coreProperties>
</file>