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México revitalizará su industria petrolífera mediante un plan de inversiones público-privadas superior a los 1,000 millones de dólares</w:t>
      </w:r>
    </w:p>
    <w:p w:rsidR="00000000" w:rsidDel="00000000" w:rsidP="00000000" w:rsidRDefault="00000000" w:rsidRPr="00000000" w14:paraId="00000002">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Los expertos estiman que la producción podría comenzar en un periodo de tres a cuatro años, contando con previsiones de extracción de hasta 300 millones de barriles diarios.</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Pemex prevé un aumento del 17.7 % en inversión física respecto a 2025, con aportes de aproximadamente 60 mil millones de pesos en el primer trimestre.</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se posiciona como un socio estratégico clave para el desarrollo de la infraestructura de Oil &amp; Gas al contar con experiencia en operaciones de izaje y transporte de plataformas de perforación, módulos de refinería y sistemas de almacenamiento de hidrocarburos para múltiples proyectos.</w:t>
      </w:r>
    </w:p>
    <w:p w:rsidR="00000000" w:rsidDel="00000000" w:rsidP="00000000" w:rsidRDefault="00000000" w:rsidRPr="00000000" w14:paraId="00000008">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Con el crecimiento de la industria como foco principal, el Gobierno ha desbloqueado recientemente el uso del fracking, un cambio estratégico en la política energética que permite aprovechar yacimientos ya identificados por Pemex en Coahuila, Tamaulipas y Veracruz para extraer gas natural y petróleo, con el objetivo de reducir la dependencia de importaciones de gas de EE.UU. y avanzar hacia la soberanía energética. Este plan contempla inversiones público-privadas y reformas fiscales con un presupuesto superior a los 1,000 millones de dólares para reactivar pozos y proyectos clave. Los expertos estiman que la producción podría comenzar en un periodo de tres a cuatro años, contando con previsiones de extracción de hasta 300 millones de barriles diarios en su fase de mayor desarrollo.</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En este contexto de expansión del sector petrolero en México, Sarens, líder mundial en elevación de cargas pesadas, transportes especiales y servicios de alquiler de grúas, se posiciona como un socio estratégico clave para el desarrollo de la infraestructura de Oil &amp; Gas. Gracias a su experiencia en la planificación y ejecución de proyectos complejos, Sarens aporta soluciones integrales que permiten a las empresas constructoras y las operadoras energéticas movilizar equipos de gran tamaño para llevar a cabo los trabajos de construcción y mantenimiento más exigentes. Al garantizar la seguridad y la eficiencia incluso bajo las condiciones más complicadas, Sarens sigue contribuyendo así al fortalecimiento de la cadena de suministro, la eficiencia operativa y la continuidad de los proyectos de exploración, extracción y refinación en el país.</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Adicionalmente, Petróleos Mexicanos (Pemex) indicó que entre enero y diciembre de 2025 su inversión física ascendió a los 395 mil millones de pesos, tras haber ampliado su capacidad de inversión mediante el Programa de Financiamiento de Inversión 2025, canalizando 190 mil millones de pesos adicionales a los 205 mil millones de pesos inicialmente aprobados por la Cámara de Diputados. Este incremento en la inversión sienta un precedente para 2026, donde se prevé un aumento del 17.7% en inversión física respecto a 2025, con aportes de aproximadamente 60 mil millones de pesos en el primer trimestre, además de la participación privada mediante contratos mixtos. Frente a esta previsión, Pemex mantiene su objetivo de una producción promedio nacional de 1.8 millones de barriles diarios de crudo, asegurando la continuidad operativa y la viabilidad financiera de la empresa para fortalecer el desarrollo energético y económico del país.</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 nivel nacional, Sarens ya ha demostrado su capacidad técnica y logística en múltiples proyectos de la industria petrolera. Entre sus trabajos destacan las operaciones de izaje y transporte de plataformas de perforación, módulos de refinería y sistemas de almacenamiento de hidrocarburos, para los cuales se han llegado a movilizar grúas como la DEMAG CC2800 con capacidad de hasta 600 toneladas, la AC500 o la AC700. Algunas de estas maniobras han incluido la elevación de cargas de hasta 120 toneladas, la instalación de estructuras en espacios pequeños y la coordinación de transportes especiales por carretera, cumpliendo con estrictos estándares de seguridad y eficiencia en plazos ajustados que se manejan en la industria.</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Fonts w:ascii="Calibri" w:cs="Calibri" w:eastAsia="Calibri" w:hAnsi="Calibri"/>
          <w:color w:val="002060"/>
          <w:rtl w:val="0"/>
        </w:rPr>
        <w:t xml:space="preserve">Como indica José Aceves, Country Manager de Sarens en México, “nuestro enfoque combina ingeniería de precisión, capacidad de transporte y elevación de alto tonelaje, y planificación logística avanzada para ejecutar proyectos complejos bajo condiciones exigentes. Con la expansión de la industria </w:t>
      </w:r>
      <w:r w:rsidDel="00000000" w:rsidR="00000000" w:rsidRPr="00000000">
        <w:rPr>
          <w:rFonts w:ascii="Calibri" w:cs="Calibri" w:eastAsia="Calibri" w:hAnsi="Calibri"/>
          <w:color w:val="002060"/>
          <w:rtl w:val="0"/>
        </w:rPr>
        <w:t xml:space="preserve">del Oil &amp; Gas</w:t>
      </w:r>
      <w:r w:rsidDel="00000000" w:rsidR="00000000" w:rsidRPr="00000000">
        <w:rPr>
          <w:rFonts w:ascii="Calibri" w:cs="Calibri" w:eastAsia="Calibri" w:hAnsi="Calibri"/>
          <w:color w:val="002060"/>
          <w:rtl w:val="0"/>
        </w:rPr>
        <w:t xml:space="preserve"> dentro del país, Sarens sigue consolidándose como un aliado fiable para operadores y constructoras, asegurando que cada operación se realiza con la máxima seguridad, eficiencia y siempre dentro de los tiempos previstos, contribuyendo al fortalecimiento de la soberanía energética nacional”.</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cuenta ya con una amplísima trayectoria dentro de la construcción para la industria energética, contando con experiencia no solo en proyectos de energía renovable, sino también dentro de los sectores del petróleo y el gas, tanto a escala nacional como internacional. Además de haber participado directamente en la construcción de la refinería de Dos Bocas en México, Sarens también ha podido trabajar en las labores de construcción y expansión de las refinerías petroleras de Corpus Christi en Texas o Fort Hills Oil Sands (EE.UU.), o en la refinería de Skikda en Argelia, donde llevó a cabo tareas de levantamiento de cargas superiores a las 1,000 toneladas, entre muchos otras.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after="160" w:line="259" w:lineRule="auto"/>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Acerca de Sarens </w:t>
      </w:r>
    </w:p>
    <w:p w:rsidR="00000000" w:rsidDel="00000000" w:rsidP="00000000" w:rsidRDefault="00000000" w:rsidRPr="00000000" w14:paraId="00000018">
      <w:pPr>
        <w:spacing w:after="160" w:line="259"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es el líder mundial y la referencia en servicios de alquiler de grúas, elevación de cargas pesadas y transporte de ingeniería. Con equipos de última generación, ingeniería de valor, uno de los inventarios más grandes del mundo de grúas, transportadores y equipos de aparejo especiales, Sarens ofrece soluciones creativas e inteligentes a los desafíos actuales de elevación pesada y transporte de ingeniería.  </w:t>
      </w:r>
    </w:p>
    <w:p w:rsidR="00000000" w:rsidDel="00000000" w:rsidP="00000000" w:rsidRDefault="00000000" w:rsidRPr="00000000" w14:paraId="00000019">
      <w:pPr>
        <w:spacing w:after="160" w:line="259" w:lineRule="auto"/>
        <w:jc w:val="both"/>
        <w:rPr/>
      </w:pPr>
      <w:r w:rsidDel="00000000" w:rsidR="00000000" w:rsidRPr="00000000">
        <w:rPr>
          <w:rFonts w:ascii="Calibri" w:cs="Calibri" w:eastAsia="Calibri" w:hAnsi="Calibri"/>
          <w:color w:val="002060"/>
          <w:rtl w:val="0"/>
        </w:rPr>
        <w:t xml:space="preserve">Con más de 100 entidades en 65 países que operan sin fronteras, Sarens es un socio ideal para proyectos de pequeña </w:t>
      </w:r>
      <w:r w:rsidDel="00000000" w:rsidR="00000000" w:rsidRPr="00000000">
        <w:rPr>
          <w:rFonts w:ascii="Calibri" w:cs="Calibri" w:eastAsia="Calibri" w:hAnsi="Calibri"/>
          <w:color w:val="002060"/>
          <w:rtl w:val="0"/>
        </w:rPr>
        <w:t xml:space="preserve">a gran</w:t>
      </w:r>
      <w:r w:rsidDel="00000000" w:rsidR="00000000" w:rsidRPr="00000000">
        <w:rPr>
          <w:rFonts w:ascii="Calibri" w:cs="Calibri" w:eastAsia="Calibri" w:hAnsi="Calibri"/>
          <w:color w:val="002060"/>
          <w:rtl w:val="0"/>
        </w:rPr>
        <w:t xml:space="preserve"> escala. Sarens cuenta en la actualidad con 4,543 profesionales altamente cualificados que están preparados para atender las necesidades de cualquier cliente en todo el mundo y en todos los sectores del mercado. (</w:t>
      </w:r>
      <w:hyperlink r:id="rId6">
        <w:r w:rsidDel="00000000" w:rsidR="00000000" w:rsidRPr="00000000">
          <w:rPr>
            <w:rFonts w:ascii="Calibri" w:cs="Calibri" w:eastAsia="Calibri" w:hAnsi="Calibri"/>
            <w:color w:val="1155cc"/>
            <w:u w:val="single"/>
            <w:rtl w:val="0"/>
          </w:rPr>
          <w:t xml:space="preserve">www.sarens.com</w:t>
        </w:r>
      </w:hyperlink>
      <w:r w:rsidDel="00000000" w:rsidR="00000000" w:rsidRPr="00000000">
        <w:rPr>
          <w:rFonts w:ascii="Calibri" w:cs="Calibri" w:eastAsia="Calibri" w:hAnsi="Calibri"/>
          <w:color w:val="002060"/>
          <w:rtl w:val="0"/>
        </w:rPr>
        <w:t xml:space="preserve">)</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spacing w:after="160" w:line="259" w:lineRule="auto"/>
      <w:rPr>
        <w:rFonts w:ascii="Calibri" w:cs="Calibri" w:eastAsia="Calibri" w:hAnsi="Calibri"/>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160" w:line="259" w:lineRule="auto"/>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