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jc w:val="center"/>
        <w:rPr>
          <w:rFonts w:ascii="Roboto" w:cs="Roboto" w:eastAsia="Roboto" w:hAnsi="Roboto"/>
          <w:color w:val="02161d"/>
          <w:sz w:val="27"/>
          <w:szCs w:val="27"/>
          <w:highlight w:val="white"/>
        </w:rPr>
      </w:pPr>
      <w:r w:rsidDel="00000000" w:rsidR="00000000" w:rsidRPr="00000000">
        <w:rPr>
          <w:rFonts w:ascii="Calibri" w:cs="Calibri" w:eastAsia="Calibri" w:hAnsi="Calibri"/>
          <w:b w:val="1"/>
          <w:bCs w:val="1"/>
          <w:color w:val="002060"/>
          <w:sz w:val="32"/>
          <w:szCs w:val="32"/>
          <w:rtl w:val="0"/>
        </w:rPr>
        <w:t xml:space="preserve">United States will add 46 GW of new wind energy from 2026 to 2029 </w:t>
      </w:r>
      <w:r w:rsidDel="00000000" w:rsidR="00000000" w:rsidRPr="00000000">
        <w:rPr>
          <w:rFonts w:ascii="Calibri" w:cs="Calibri" w:eastAsia="Calibri" w:hAnsi="Calibri"/>
          <w:color w:val="686868"/>
          <w:rtl w:val="0"/>
        </w:rPr>
        <w:t xml:space="preserve"> </w:t>
      </w:r>
      <w:r w:rsidDel="00000000" w:rsidR="00000000" w:rsidRPr="00000000">
        <w:rPr>
          <w:rtl w:val="0"/>
        </w:rPr>
      </w:r>
    </w:p>
    <w:p w:rsidR="00000000" w:rsidDel="00000000" w:rsidP="00000000" w:rsidRDefault="00000000" w:rsidRPr="00000000" w14:paraId="00000002">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Sarens stands out as a strategic partner for the wind energy sector in the United States thanks to its global leadership in heavy lifting, specialized transport, and engineering solutions for onshore and offshore wind projects.</w:t>
      </w:r>
    </w:p>
    <w:p w:rsidR="00000000" w:rsidDel="00000000" w:rsidP="00000000" w:rsidRDefault="00000000" w:rsidRPr="00000000" w14:paraId="00000003">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rapid adoption of artificial intelligence has led to a significant rise in demand for electricity. Data centres using AI currently consume around 4% of the electricity in the US, a figure which could double by the end of the decade.</w:t>
      </w:r>
    </w:p>
    <w:p w:rsidR="00000000" w:rsidDel="00000000" w:rsidP="00000000" w:rsidRDefault="00000000" w:rsidRPr="00000000" w14:paraId="00000004">
      <w:pPr>
        <w:shd w:fill="ffffff" w:val="clea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Currently, cumulative capacity is approaching 160 GW, up from 153 GW in 2024 with the addition of new installations over the last year, representing more than 7 GW of new wind capacity, a 36% increase over 2024 figures. </w:t>
      </w:r>
    </w:p>
    <w:p w:rsidR="00000000" w:rsidDel="00000000" w:rsidP="00000000" w:rsidRDefault="00000000" w:rsidRPr="00000000" w14:paraId="00000005">
      <w:pPr>
        <w:shd w:fill="ffffff" w:val="clea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Wind energy remains the main source of renewable energy for the United States. </w:t>
      </w:r>
      <w:r w:rsidDel="00000000" w:rsidR="00000000" w:rsidRPr="00000000">
        <w:rPr>
          <w:rFonts w:ascii="Calibri" w:cs="Calibri" w:eastAsia="Calibri" w:hAnsi="Calibri"/>
          <w:color w:val="002060"/>
          <w:rtl w:val="0"/>
        </w:rPr>
        <w:t xml:space="preserve">Currently, cumulative capacity is approaching 160 GW, up from 153 GW in 2024 with the addition of new installations over the last year, representing more than 7 GW of new wind capacity, a 36% increase over 2024 figures, when approximately 3-4 GW were added.</w:t>
      </w:r>
      <w:r w:rsidDel="00000000" w:rsidR="00000000" w:rsidRPr="00000000">
        <w:rPr>
          <w:rFonts w:ascii="Calibri" w:cs="Calibri" w:eastAsia="Calibri" w:hAnsi="Calibri"/>
          <w:color w:val="002060"/>
          <w:rtl w:val="0"/>
        </w:rPr>
        <w:t xml:space="preserve"> During 2025 wind turbines generated 10.1% of total electricity, an increase of 1.2% compared with the same period in 2024, according to data from the U.S. Energy Information Administration. </w:t>
      </w:r>
    </w:p>
    <w:p w:rsidR="00000000" w:rsidDel="00000000" w:rsidP="00000000" w:rsidRDefault="00000000" w:rsidRPr="00000000" w14:paraId="00000006">
      <w:pPr>
        <w:shd w:fill="ffffff" w:val="clea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country will add </w:t>
      </w:r>
      <w:r w:rsidDel="00000000" w:rsidR="00000000" w:rsidRPr="00000000">
        <w:rPr>
          <w:rFonts w:ascii="Calibri" w:cs="Calibri" w:eastAsia="Calibri" w:hAnsi="Calibri"/>
          <w:color w:val="002060"/>
          <w:rtl w:val="0"/>
        </w:rPr>
        <w:t xml:space="preserve">46GW of new onshore and offshore wind capacity from 2026 to 2029</w:t>
      </w:r>
      <w:r w:rsidDel="00000000" w:rsidR="00000000" w:rsidRPr="00000000">
        <w:rPr>
          <w:rFonts w:ascii="Calibri" w:cs="Calibri" w:eastAsia="Calibri" w:hAnsi="Calibri"/>
          <w:color w:val="002060"/>
          <w:rtl w:val="0"/>
        </w:rPr>
        <w:t xml:space="preserve">, with forecasts that 11GW will be installed in 2026 and up to 12.7GW in 2027, according to estimates by the American Clean Power Association. In this context, Sarens stands out as a strategic partner for the wind energy sector in the United States thanks to its global leadership in heavy lifting, specialized transport, and engineering solutions for onshore and offshore wind projects. With extensive international experience in the installation of large components, the company brings proven know-how, the highest safety standards, and key technical capabilities to the US market to meet the logistical and operational challenges posed by the rapid growth of wind energy in the country.</w:t>
      </w:r>
    </w:p>
    <w:p w:rsidR="00000000" w:rsidDel="00000000" w:rsidP="00000000" w:rsidRDefault="00000000" w:rsidRPr="00000000" w14:paraId="00000007">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rapid adoption of artificial intelligence has led to a significant rise in demand for electricity. According to the International Energy Agency's (IEA) report, 'Energy and AI', global data centre electricity demand is expected to double by 2030, reaching approximately 945 TWh. Data centres using AI currently consume around 4% of the electricity in the US, a figure which could also double by the end of the decade. Data centres have in fact accounted for half of the total clean energy procurement by US companies, which have contracted at least 50 GW of clean energy. Wind is the second largest source, contributing 13 GW, second only to solar, which provided 29 GW, according to figures from S&amp;P Global Commodity Insights. </w:t>
      </w:r>
    </w:p>
    <w:p w:rsidR="00000000" w:rsidDel="00000000" w:rsidP="00000000" w:rsidRDefault="00000000" w:rsidRPr="00000000" w14:paraId="00000008">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Although Sarens has operational capacity throughout the United States, the company primarily operates in Texas on the Gulf Coast and Florida. This positioning is highly relevant to the wind industry, as more than 25% of national production is generated in Texas, followed by Iowa, Kansas, and Illinois. Thus, local presence in this key region for the industry is a fundamental element for the efficient development of wind energy projects, as it allows for close customer service, rapid mobilization of equipment, and in-depth knowledge of the regulatory framework and specific conditions of each site. Likewise, this facilitates the immediate availability of large-capacity cranes and SPMTs, providing the flexibility and reliability necessary for the handling, transport, and installation of wind components, helping to optimize deadlines, reduce operational risks, and ensure the highest standards of safety and quality in project execution.</w:t>
      </w:r>
    </w:p>
    <w:p w:rsidR="00000000" w:rsidDel="00000000" w:rsidP="00000000" w:rsidRDefault="00000000" w:rsidRPr="00000000" w14:paraId="00000009">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backed by its international experience in the development of wind projects all over the world, which it transfers to its engineering teams in the USA. Thus, it has worked in installations of international relevance such as Karusa and Soetwater in South Africa; in Sweden, at the Markbygden wind farm; in the transport work for the foundation bases of the new offshore wind farm in Saint Brieuc, off the French Brittany coast, where it has been able to transport loads of more than 1,150 tons; or more recently, in the new Coastal Virginia offshore wind farm, off the coast of Virginia Beach, where it has collaborated with the reception and loading out of monopiles and transition pieces of 176 turbines, as well as the jackets and topsides for the three offshore substations that will make up the farm.</w:t>
      </w:r>
    </w:p>
    <w:p w:rsidR="00000000" w:rsidDel="00000000" w:rsidP="00000000" w:rsidRDefault="00000000" w:rsidRPr="00000000" w14:paraId="0000000A">
      <w:pPr>
        <w:spacing w:after="240" w:before="240" w:lineRule="auto"/>
        <w:jc w:val="both"/>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0B">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0C">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D">
      <w:pPr>
        <w:spacing w:line="276" w:lineRule="auto"/>
        <w:jc w:val="both"/>
        <w:rPr>
          <w:rFonts w:ascii="Verdana" w:cs="Verdana" w:eastAsia="Verdana" w:hAnsi="Verdana"/>
          <w:color w:val="686868"/>
          <w:sz w:val="21"/>
          <w:szCs w:val="21"/>
          <w:highlight w:val="white"/>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6,000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0E">
      <w:pPr>
        <w:rPr>
          <w:rFonts w:ascii="Verdana" w:cs="Verdana" w:eastAsia="Verdana" w:hAnsi="Verdana"/>
          <w:color w:val="686868"/>
          <w:sz w:val="21"/>
          <w:szCs w:val="21"/>
          <w:highlight w:val="white"/>
        </w:rPr>
      </w:pPr>
      <w:r w:rsidDel="00000000" w:rsidR="00000000" w:rsidRPr="00000000">
        <w:rPr>
          <w:rtl w:val="0"/>
        </w:rPr>
      </w:r>
    </w:p>
    <w:p w:rsidR="00000000" w:rsidDel="00000000" w:rsidP="00000000" w:rsidRDefault="00000000" w:rsidRPr="00000000" w14:paraId="0000000F">
      <w:pPr>
        <w:shd w:fill="ffffff" w:val="clear"/>
        <w:spacing w:after="240" w:before="240"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shd w:fill="ffffff" w:val="clear"/>
        <w:spacing w:after="400" w:before="120" w:lineRule="auto"/>
        <w:ind w:left="0" w:firstLine="0"/>
        <w:rPr>
          <w:rFonts w:ascii="Roboto" w:cs="Roboto" w:eastAsia="Roboto" w:hAnsi="Roboto"/>
          <w:color w:val="02161d"/>
          <w:sz w:val="27"/>
          <w:szCs w:val="27"/>
          <w:highlight w:val="white"/>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spacing w:after="160" w:line="259" w:lineRule="auto"/>
      <w:rPr/>
    </w:pPr>
    <w:r w:rsidDel="00000000" w:rsidR="00000000" w:rsidRPr="00000000">
      <w:rPr>
        <w:rFonts w:ascii="Calibri" w:cs="Calibri" w:eastAsia="Calibri" w:hAnsi="Calibri"/>
      </w:rPr>
      <w:drawing>
        <wp:inline distB="0" distT="0" distL="0" distR="0">
          <wp:extent cx="2237740" cy="43878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