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B317" w14:textId="4A1503EC" w:rsidR="00610082" w:rsidRPr="00365574" w:rsidRDefault="006F3FAF" w:rsidP="00610082">
      <w:pPr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365574">
        <w:rPr>
          <w:b/>
          <w:bCs/>
          <w:sz w:val="20"/>
          <w:szCs w:val="20"/>
          <w:lang w:val="en-GB"/>
        </w:rPr>
        <w:t xml:space="preserve">Polish capital </w:t>
      </w:r>
      <w:r w:rsidR="00001571" w:rsidRPr="00365574">
        <w:rPr>
          <w:b/>
          <w:bCs/>
          <w:sz w:val="20"/>
          <w:szCs w:val="20"/>
          <w:lang w:val="en-GB"/>
        </w:rPr>
        <w:t>hits a record high</w:t>
      </w:r>
      <w:r w:rsidR="00610082" w:rsidRPr="00365574">
        <w:rPr>
          <w:b/>
          <w:bCs/>
          <w:sz w:val="20"/>
          <w:szCs w:val="20"/>
          <w:lang w:val="en-GB"/>
        </w:rPr>
        <w:t xml:space="preserve">. Cushman &amp; Wakefield </w:t>
      </w:r>
      <w:r w:rsidR="005A66DC">
        <w:rPr>
          <w:b/>
          <w:bCs/>
          <w:sz w:val="20"/>
          <w:szCs w:val="20"/>
          <w:lang w:val="en-GB"/>
        </w:rPr>
        <w:t>summarises</w:t>
      </w:r>
      <w:r w:rsidR="00610082" w:rsidRPr="00365574">
        <w:rPr>
          <w:b/>
          <w:bCs/>
          <w:sz w:val="20"/>
          <w:szCs w:val="20"/>
          <w:lang w:val="en-GB"/>
        </w:rPr>
        <w:t xml:space="preserve"> 2025 </w:t>
      </w:r>
      <w:r w:rsidR="0044178E" w:rsidRPr="00365574">
        <w:rPr>
          <w:b/>
          <w:bCs/>
          <w:sz w:val="20"/>
          <w:szCs w:val="20"/>
          <w:lang w:val="en-GB"/>
        </w:rPr>
        <w:t>i</w:t>
      </w:r>
      <w:r w:rsidR="00001571" w:rsidRPr="00365574">
        <w:rPr>
          <w:b/>
          <w:bCs/>
          <w:sz w:val="20"/>
          <w:szCs w:val="20"/>
          <w:lang w:val="en-GB"/>
        </w:rPr>
        <w:t>n the commercial property market</w:t>
      </w:r>
    </w:p>
    <w:p w14:paraId="399D3FA4" w14:textId="7F4C2527" w:rsidR="00610082" w:rsidRPr="00365574" w:rsidRDefault="0013375B" w:rsidP="00610082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365574">
        <w:rPr>
          <w:b/>
          <w:bCs/>
          <w:sz w:val="20"/>
          <w:szCs w:val="20"/>
          <w:lang w:val="en-GB"/>
        </w:rPr>
        <w:t>Although commercial real estate investment volume</w:t>
      </w:r>
      <w:r w:rsidR="00F63D46" w:rsidRPr="00365574">
        <w:rPr>
          <w:b/>
          <w:bCs/>
          <w:sz w:val="20"/>
          <w:szCs w:val="20"/>
          <w:lang w:val="en-GB"/>
        </w:rPr>
        <w:t xml:space="preserve"> in Poland reached approximately EUR 4.5 billion</w:t>
      </w:r>
      <w:r w:rsidR="0029213C">
        <w:rPr>
          <w:b/>
          <w:bCs/>
          <w:sz w:val="20"/>
          <w:szCs w:val="20"/>
          <w:lang w:val="en-GB"/>
        </w:rPr>
        <w:t xml:space="preserve"> in 2025</w:t>
      </w:r>
      <w:r w:rsidR="00FC5E40" w:rsidRPr="00365574">
        <w:rPr>
          <w:b/>
          <w:bCs/>
          <w:sz w:val="20"/>
          <w:szCs w:val="20"/>
          <w:lang w:val="en-GB"/>
        </w:rPr>
        <w:t xml:space="preserve"> – </w:t>
      </w:r>
      <w:r w:rsidR="00EB7C3C" w:rsidRPr="00365574">
        <w:rPr>
          <w:b/>
          <w:bCs/>
          <w:sz w:val="20"/>
          <w:szCs w:val="20"/>
          <w:lang w:val="en-GB"/>
        </w:rPr>
        <w:t xml:space="preserve">representing </w:t>
      </w:r>
      <w:r w:rsidR="00FC5E40" w:rsidRPr="00365574">
        <w:rPr>
          <w:b/>
          <w:bCs/>
          <w:sz w:val="20"/>
          <w:szCs w:val="20"/>
          <w:lang w:val="en-GB"/>
        </w:rPr>
        <w:t xml:space="preserve">a 13% </w:t>
      </w:r>
      <w:r w:rsidR="00A1394D">
        <w:rPr>
          <w:b/>
          <w:bCs/>
          <w:sz w:val="20"/>
          <w:szCs w:val="20"/>
          <w:lang w:val="en-GB"/>
        </w:rPr>
        <w:t xml:space="preserve">decrease </w:t>
      </w:r>
      <w:r w:rsidR="00FC5E40" w:rsidRPr="00365574">
        <w:rPr>
          <w:b/>
          <w:bCs/>
          <w:sz w:val="20"/>
          <w:szCs w:val="20"/>
          <w:lang w:val="en-GB"/>
        </w:rPr>
        <w:t>year-on-year – the</w:t>
      </w:r>
      <w:r w:rsidR="008123CA">
        <w:rPr>
          <w:b/>
          <w:bCs/>
          <w:sz w:val="20"/>
          <w:szCs w:val="20"/>
          <w:lang w:val="en-GB"/>
        </w:rPr>
        <w:t xml:space="preserve"> past 1</w:t>
      </w:r>
      <w:r w:rsidR="005D15C7" w:rsidRPr="00365574">
        <w:rPr>
          <w:b/>
          <w:bCs/>
          <w:sz w:val="20"/>
          <w:szCs w:val="20"/>
          <w:lang w:val="en-GB"/>
        </w:rPr>
        <w:t xml:space="preserve">2 months </w:t>
      </w:r>
      <w:r w:rsidR="00EB7C3C" w:rsidRPr="00365574">
        <w:rPr>
          <w:b/>
          <w:bCs/>
          <w:sz w:val="20"/>
          <w:szCs w:val="20"/>
          <w:lang w:val="en-GB"/>
        </w:rPr>
        <w:t xml:space="preserve">marked a period of </w:t>
      </w:r>
      <w:r w:rsidR="001B539B" w:rsidRPr="00365574">
        <w:rPr>
          <w:b/>
          <w:bCs/>
          <w:sz w:val="20"/>
          <w:szCs w:val="20"/>
          <w:lang w:val="en-GB"/>
        </w:rPr>
        <w:t xml:space="preserve">significant </w:t>
      </w:r>
      <w:r w:rsidR="005D15C7" w:rsidRPr="00365574">
        <w:rPr>
          <w:b/>
          <w:bCs/>
          <w:sz w:val="20"/>
          <w:szCs w:val="20"/>
          <w:lang w:val="en-GB"/>
        </w:rPr>
        <w:t xml:space="preserve">structural </w:t>
      </w:r>
      <w:r w:rsidR="001B539B" w:rsidRPr="00365574">
        <w:rPr>
          <w:b/>
          <w:bCs/>
          <w:sz w:val="20"/>
          <w:szCs w:val="20"/>
          <w:lang w:val="en-GB"/>
        </w:rPr>
        <w:t>change</w:t>
      </w:r>
      <w:r w:rsidR="005D15C7" w:rsidRPr="00365574">
        <w:rPr>
          <w:b/>
          <w:bCs/>
          <w:sz w:val="20"/>
          <w:szCs w:val="20"/>
          <w:lang w:val="en-GB"/>
        </w:rPr>
        <w:t xml:space="preserve">. </w:t>
      </w:r>
      <w:r w:rsidR="005F36A2" w:rsidRPr="00365574">
        <w:rPr>
          <w:b/>
          <w:bCs/>
          <w:sz w:val="20"/>
          <w:szCs w:val="20"/>
          <w:lang w:val="en-GB"/>
        </w:rPr>
        <w:t xml:space="preserve">Notably, </w:t>
      </w:r>
      <w:r w:rsidR="00EB7C3C" w:rsidRPr="00365574">
        <w:rPr>
          <w:b/>
          <w:bCs/>
          <w:sz w:val="20"/>
          <w:szCs w:val="20"/>
          <w:lang w:val="en-GB"/>
        </w:rPr>
        <w:t>Polish</w:t>
      </w:r>
      <w:r w:rsidR="0055374F" w:rsidRPr="00365574">
        <w:rPr>
          <w:b/>
          <w:bCs/>
          <w:sz w:val="20"/>
          <w:szCs w:val="20"/>
          <w:lang w:val="en-GB"/>
        </w:rPr>
        <w:t xml:space="preserve"> capital </w:t>
      </w:r>
      <w:r w:rsidR="001B539B" w:rsidRPr="00365574">
        <w:rPr>
          <w:b/>
          <w:bCs/>
          <w:sz w:val="20"/>
          <w:szCs w:val="20"/>
          <w:lang w:val="en-GB"/>
        </w:rPr>
        <w:t>moved</w:t>
      </w:r>
      <w:r w:rsidR="006849A6" w:rsidRPr="00365574">
        <w:rPr>
          <w:b/>
          <w:bCs/>
          <w:sz w:val="20"/>
          <w:szCs w:val="20"/>
          <w:lang w:val="en-GB"/>
        </w:rPr>
        <w:t xml:space="preserve"> into the spotlight</w:t>
      </w:r>
      <w:r w:rsidR="00726C32" w:rsidRPr="00365574">
        <w:rPr>
          <w:b/>
          <w:bCs/>
          <w:sz w:val="20"/>
          <w:szCs w:val="20"/>
          <w:lang w:val="en-GB"/>
        </w:rPr>
        <w:t>, accounting for around 20% of total investment</w:t>
      </w:r>
      <w:r w:rsidR="00053F05" w:rsidRPr="00365574">
        <w:rPr>
          <w:b/>
          <w:bCs/>
          <w:sz w:val="20"/>
          <w:szCs w:val="20"/>
          <w:lang w:val="en-GB"/>
        </w:rPr>
        <w:t xml:space="preserve"> activity</w:t>
      </w:r>
      <w:r w:rsidR="00726C32" w:rsidRPr="00365574">
        <w:rPr>
          <w:b/>
          <w:bCs/>
          <w:sz w:val="20"/>
          <w:szCs w:val="20"/>
          <w:lang w:val="en-GB"/>
        </w:rPr>
        <w:t xml:space="preserve">, up by more than 11% year-on-year. </w:t>
      </w:r>
      <w:r w:rsidR="00BC53DC" w:rsidRPr="00365574">
        <w:rPr>
          <w:b/>
          <w:bCs/>
          <w:sz w:val="20"/>
          <w:szCs w:val="20"/>
          <w:lang w:val="en-GB"/>
        </w:rPr>
        <w:t xml:space="preserve">This </w:t>
      </w:r>
      <w:r w:rsidR="00053F05" w:rsidRPr="00365574">
        <w:rPr>
          <w:b/>
          <w:bCs/>
          <w:sz w:val="20"/>
          <w:szCs w:val="20"/>
          <w:lang w:val="en-GB"/>
        </w:rPr>
        <w:t xml:space="preserve">trend </w:t>
      </w:r>
      <w:r w:rsidR="00163BA4">
        <w:rPr>
          <w:b/>
          <w:bCs/>
          <w:sz w:val="20"/>
          <w:szCs w:val="20"/>
          <w:lang w:val="en-GB"/>
        </w:rPr>
        <w:t>underscores</w:t>
      </w:r>
      <w:r w:rsidR="00BC53DC" w:rsidRPr="00365574">
        <w:rPr>
          <w:b/>
          <w:bCs/>
          <w:sz w:val="20"/>
          <w:szCs w:val="20"/>
          <w:lang w:val="en-GB"/>
        </w:rPr>
        <w:t xml:space="preserve"> the market’s growing maturity and </w:t>
      </w:r>
      <w:r w:rsidR="007F154F" w:rsidRPr="00365574">
        <w:rPr>
          <w:b/>
          <w:bCs/>
          <w:sz w:val="20"/>
          <w:szCs w:val="20"/>
          <w:lang w:val="en-GB"/>
        </w:rPr>
        <w:t>the</w:t>
      </w:r>
      <w:r w:rsidR="00994DDB" w:rsidRPr="00365574">
        <w:rPr>
          <w:b/>
          <w:bCs/>
          <w:sz w:val="20"/>
          <w:szCs w:val="20"/>
          <w:lang w:val="en-GB"/>
        </w:rPr>
        <w:t xml:space="preserve"> increasingly prominent role of local </w:t>
      </w:r>
      <w:r w:rsidR="006371A3" w:rsidRPr="00365574">
        <w:rPr>
          <w:b/>
          <w:bCs/>
          <w:sz w:val="20"/>
          <w:szCs w:val="20"/>
          <w:lang w:val="en-GB"/>
        </w:rPr>
        <w:t>investors in shaping its dynamics, according to experts at global real estate services firm Cushman &amp; Wakefield</w:t>
      </w:r>
      <w:r w:rsidR="00610082" w:rsidRPr="00365574">
        <w:rPr>
          <w:b/>
          <w:bCs/>
          <w:sz w:val="20"/>
          <w:szCs w:val="20"/>
          <w:lang w:val="en-GB"/>
        </w:rPr>
        <w:t>.</w:t>
      </w:r>
    </w:p>
    <w:p w14:paraId="609F3897" w14:textId="102F1881" w:rsidR="00610082" w:rsidRPr="00365574" w:rsidRDefault="00EA0AA5" w:rsidP="00610082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365574">
        <w:rPr>
          <w:i/>
          <w:iCs/>
          <w:sz w:val="20"/>
          <w:szCs w:val="20"/>
          <w:lang w:val="en-GB"/>
        </w:rPr>
        <w:t>“</w:t>
      </w:r>
      <w:r w:rsidR="00F230EC" w:rsidRPr="00365574">
        <w:rPr>
          <w:i/>
          <w:iCs/>
          <w:sz w:val="20"/>
          <w:szCs w:val="20"/>
          <w:lang w:val="en-GB"/>
        </w:rPr>
        <w:t xml:space="preserve">From </w:t>
      </w:r>
      <w:r w:rsidR="007F154F" w:rsidRPr="00365574">
        <w:rPr>
          <w:i/>
          <w:iCs/>
          <w:sz w:val="20"/>
          <w:szCs w:val="20"/>
          <w:lang w:val="en-GB"/>
        </w:rPr>
        <w:t>a</w:t>
      </w:r>
      <w:r w:rsidR="00F230EC" w:rsidRPr="00365574">
        <w:rPr>
          <w:i/>
          <w:iCs/>
          <w:sz w:val="20"/>
          <w:szCs w:val="20"/>
          <w:lang w:val="en-GB"/>
        </w:rPr>
        <w:t xml:space="preserve"> capital markets</w:t>
      </w:r>
      <w:r w:rsidR="007F154F" w:rsidRPr="00365574">
        <w:rPr>
          <w:i/>
          <w:iCs/>
          <w:sz w:val="20"/>
          <w:szCs w:val="20"/>
          <w:lang w:val="en-GB"/>
        </w:rPr>
        <w:t xml:space="preserve"> perspective</w:t>
      </w:r>
      <w:r w:rsidR="00F230EC" w:rsidRPr="00365574">
        <w:rPr>
          <w:i/>
          <w:iCs/>
          <w:sz w:val="20"/>
          <w:szCs w:val="20"/>
          <w:lang w:val="en-GB"/>
        </w:rPr>
        <w:t xml:space="preserve">, </w:t>
      </w:r>
      <w:r w:rsidR="000B663F" w:rsidRPr="00365574">
        <w:rPr>
          <w:i/>
          <w:iCs/>
          <w:sz w:val="20"/>
          <w:szCs w:val="20"/>
          <w:lang w:val="en-GB"/>
        </w:rPr>
        <w:t xml:space="preserve">one of </w:t>
      </w:r>
      <w:r w:rsidR="00040A78" w:rsidRPr="00365574">
        <w:rPr>
          <w:i/>
          <w:iCs/>
          <w:sz w:val="20"/>
          <w:szCs w:val="20"/>
          <w:lang w:val="en-GB"/>
        </w:rPr>
        <w:t xml:space="preserve">the </w:t>
      </w:r>
      <w:r w:rsidR="000B663F" w:rsidRPr="00365574">
        <w:rPr>
          <w:i/>
          <w:iCs/>
          <w:sz w:val="20"/>
          <w:szCs w:val="20"/>
          <w:lang w:val="en-GB"/>
        </w:rPr>
        <w:t xml:space="preserve">key developments in 2025 was </w:t>
      </w:r>
      <w:r w:rsidR="00BA3906" w:rsidRPr="00365574">
        <w:rPr>
          <w:i/>
          <w:iCs/>
          <w:sz w:val="20"/>
          <w:szCs w:val="20"/>
          <w:lang w:val="en-GB"/>
        </w:rPr>
        <w:t>the</w:t>
      </w:r>
      <w:r w:rsidR="000B663F" w:rsidRPr="00365574">
        <w:rPr>
          <w:i/>
          <w:iCs/>
          <w:sz w:val="20"/>
          <w:szCs w:val="20"/>
          <w:lang w:val="en-GB"/>
        </w:rPr>
        <w:t xml:space="preserve"> unprecedented share of Polish capital. </w:t>
      </w:r>
      <w:r w:rsidR="00F17443" w:rsidRPr="00365574">
        <w:rPr>
          <w:i/>
          <w:iCs/>
          <w:sz w:val="20"/>
          <w:szCs w:val="20"/>
          <w:lang w:val="en-GB"/>
        </w:rPr>
        <w:t xml:space="preserve">This is </w:t>
      </w:r>
      <w:r w:rsidR="00F35542" w:rsidRPr="00365574">
        <w:rPr>
          <w:i/>
          <w:iCs/>
          <w:sz w:val="20"/>
          <w:szCs w:val="20"/>
          <w:lang w:val="en-GB"/>
        </w:rPr>
        <w:t xml:space="preserve">not only about </w:t>
      </w:r>
      <w:r w:rsidR="00BA3906" w:rsidRPr="00365574">
        <w:rPr>
          <w:i/>
          <w:iCs/>
          <w:sz w:val="20"/>
          <w:szCs w:val="20"/>
          <w:lang w:val="en-GB"/>
        </w:rPr>
        <w:t xml:space="preserve">the </w:t>
      </w:r>
      <w:r w:rsidR="00496422" w:rsidRPr="00365574">
        <w:rPr>
          <w:i/>
          <w:iCs/>
          <w:sz w:val="20"/>
          <w:szCs w:val="20"/>
          <w:lang w:val="en-GB"/>
        </w:rPr>
        <w:t>figures</w:t>
      </w:r>
      <w:r w:rsidR="00F35542" w:rsidRPr="00365574">
        <w:rPr>
          <w:i/>
          <w:iCs/>
          <w:sz w:val="20"/>
          <w:szCs w:val="20"/>
          <w:lang w:val="en-GB"/>
        </w:rPr>
        <w:t xml:space="preserve"> – data shows that Polish investors accounted for approximately 20% of total transaction volume</w:t>
      </w:r>
      <w:r w:rsidR="00E21280" w:rsidRPr="00365574">
        <w:rPr>
          <w:i/>
          <w:iCs/>
          <w:sz w:val="20"/>
          <w:szCs w:val="20"/>
          <w:lang w:val="en-GB"/>
        </w:rPr>
        <w:t xml:space="preserve"> and as much as 30% of office investment</w:t>
      </w:r>
      <w:r w:rsidR="006D1058" w:rsidRPr="00365574">
        <w:rPr>
          <w:i/>
          <w:iCs/>
          <w:sz w:val="20"/>
          <w:szCs w:val="20"/>
          <w:lang w:val="en-GB"/>
        </w:rPr>
        <w:t xml:space="preserve"> – but also </w:t>
      </w:r>
      <w:r w:rsidR="00BA3906" w:rsidRPr="00365574">
        <w:rPr>
          <w:i/>
          <w:iCs/>
          <w:sz w:val="20"/>
          <w:szCs w:val="20"/>
          <w:lang w:val="en-GB"/>
        </w:rPr>
        <w:t>reflects</w:t>
      </w:r>
      <w:r w:rsidR="0033046E" w:rsidRPr="00365574">
        <w:rPr>
          <w:i/>
          <w:iCs/>
          <w:sz w:val="20"/>
          <w:szCs w:val="20"/>
          <w:lang w:val="en-GB"/>
        </w:rPr>
        <w:t xml:space="preserve"> the </w:t>
      </w:r>
      <w:r w:rsidR="00492C78" w:rsidRPr="00365574">
        <w:rPr>
          <w:i/>
          <w:iCs/>
          <w:sz w:val="20"/>
          <w:szCs w:val="20"/>
          <w:lang w:val="en-GB"/>
        </w:rPr>
        <w:t xml:space="preserve">increasing </w:t>
      </w:r>
      <w:r w:rsidR="0033046E" w:rsidRPr="00365574">
        <w:rPr>
          <w:i/>
          <w:iCs/>
          <w:sz w:val="20"/>
          <w:szCs w:val="20"/>
          <w:lang w:val="en-GB"/>
        </w:rPr>
        <w:t>professionalisation of local investors</w:t>
      </w:r>
      <w:r w:rsidR="008C4DF4" w:rsidRPr="00365574">
        <w:rPr>
          <w:i/>
          <w:iCs/>
          <w:sz w:val="20"/>
          <w:szCs w:val="20"/>
          <w:lang w:val="en-GB"/>
        </w:rPr>
        <w:t>. Today, they have the relevant expertise</w:t>
      </w:r>
      <w:r w:rsidR="00834711">
        <w:rPr>
          <w:i/>
          <w:iCs/>
          <w:sz w:val="20"/>
          <w:szCs w:val="20"/>
          <w:lang w:val="en-GB"/>
        </w:rPr>
        <w:t xml:space="preserve"> and</w:t>
      </w:r>
      <w:r w:rsidR="00C32B34" w:rsidRPr="00365574">
        <w:rPr>
          <w:i/>
          <w:iCs/>
          <w:sz w:val="20"/>
          <w:szCs w:val="20"/>
          <w:lang w:val="en-GB"/>
        </w:rPr>
        <w:t xml:space="preserve"> </w:t>
      </w:r>
      <w:r w:rsidR="00834711" w:rsidRPr="00181835">
        <w:rPr>
          <w:i/>
          <w:iCs/>
          <w:sz w:val="20"/>
          <w:szCs w:val="20"/>
          <w:lang w:val="en-GB"/>
        </w:rPr>
        <w:t>relations</w:t>
      </w:r>
      <w:r w:rsidR="00181835">
        <w:rPr>
          <w:i/>
          <w:iCs/>
          <w:sz w:val="20"/>
          <w:szCs w:val="20"/>
          <w:lang w:val="en-GB"/>
        </w:rPr>
        <w:t>hips</w:t>
      </w:r>
      <w:r w:rsidR="00A62041">
        <w:rPr>
          <w:i/>
          <w:iCs/>
          <w:sz w:val="20"/>
          <w:szCs w:val="20"/>
          <w:lang w:val="en-GB"/>
        </w:rPr>
        <w:t>,</w:t>
      </w:r>
      <w:r w:rsidR="00F129DE" w:rsidRPr="00365574">
        <w:rPr>
          <w:i/>
          <w:iCs/>
          <w:sz w:val="20"/>
          <w:szCs w:val="20"/>
          <w:lang w:val="en-GB"/>
        </w:rPr>
        <w:t xml:space="preserve"> a</w:t>
      </w:r>
      <w:r w:rsidR="00C32B34" w:rsidRPr="00365574">
        <w:rPr>
          <w:i/>
          <w:iCs/>
          <w:sz w:val="20"/>
          <w:szCs w:val="20"/>
          <w:lang w:val="en-GB"/>
        </w:rPr>
        <w:t>nd are</w:t>
      </w:r>
      <w:r w:rsidR="00F129DE" w:rsidRPr="00365574">
        <w:rPr>
          <w:i/>
          <w:iCs/>
          <w:sz w:val="20"/>
          <w:szCs w:val="20"/>
          <w:lang w:val="en-GB"/>
        </w:rPr>
        <w:t xml:space="preserve"> ready to make decisions in </w:t>
      </w:r>
      <w:r w:rsidR="00930DC6" w:rsidRPr="00365574">
        <w:rPr>
          <w:i/>
          <w:iCs/>
          <w:sz w:val="20"/>
          <w:szCs w:val="20"/>
          <w:lang w:val="en-GB"/>
        </w:rPr>
        <w:t xml:space="preserve">an environment </w:t>
      </w:r>
      <w:r w:rsidR="00165323" w:rsidRPr="00365574">
        <w:rPr>
          <w:i/>
          <w:iCs/>
          <w:sz w:val="20"/>
          <w:szCs w:val="20"/>
          <w:lang w:val="en-GB"/>
        </w:rPr>
        <w:t xml:space="preserve">marked by </w:t>
      </w:r>
      <w:r w:rsidR="00930DC6" w:rsidRPr="00365574">
        <w:rPr>
          <w:i/>
          <w:iCs/>
          <w:sz w:val="20"/>
          <w:szCs w:val="20"/>
          <w:lang w:val="en-GB"/>
        </w:rPr>
        <w:t xml:space="preserve">uncertainty, which </w:t>
      </w:r>
      <w:r w:rsidR="00165323" w:rsidRPr="00365574">
        <w:rPr>
          <w:i/>
          <w:iCs/>
          <w:sz w:val="20"/>
          <w:szCs w:val="20"/>
          <w:lang w:val="en-GB"/>
        </w:rPr>
        <w:t xml:space="preserve">continues to deter </w:t>
      </w:r>
      <w:r w:rsidR="001E0C63" w:rsidRPr="00365574">
        <w:rPr>
          <w:i/>
          <w:iCs/>
          <w:sz w:val="20"/>
          <w:szCs w:val="20"/>
          <w:lang w:val="en-GB"/>
        </w:rPr>
        <w:t xml:space="preserve">many international </w:t>
      </w:r>
      <w:r w:rsidR="005A0096" w:rsidRPr="00365574">
        <w:rPr>
          <w:i/>
          <w:iCs/>
          <w:sz w:val="20"/>
          <w:szCs w:val="20"/>
          <w:lang w:val="en-GB"/>
        </w:rPr>
        <w:t>players</w:t>
      </w:r>
      <w:r w:rsidR="00416D62" w:rsidRPr="00365574">
        <w:rPr>
          <w:i/>
          <w:iCs/>
          <w:sz w:val="20"/>
          <w:szCs w:val="20"/>
          <w:lang w:val="en-GB"/>
        </w:rPr>
        <w:t xml:space="preserve">. This represents a </w:t>
      </w:r>
      <w:r w:rsidR="00165323" w:rsidRPr="00365574">
        <w:rPr>
          <w:i/>
          <w:iCs/>
          <w:sz w:val="20"/>
          <w:szCs w:val="20"/>
          <w:lang w:val="en-GB"/>
        </w:rPr>
        <w:t>step change</w:t>
      </w:r>
      <w:r w:rsidR="00C86446" w:rsidRPr="00365574">
        <w:rPr>
          <w:i/>
          <w:iCs/>
          <w:sz w:val="20"/>
          <w:szCs w:val="20"/>
          <w:lang w:val="en-GB"/>
        </w:rPr>
        <w:t xml:space="preserve"> that</w:t>
      </w:r>
      <w:r w:rsidR="00CF2F9D" w:rsidRPr="00365574">
        <w:rPr>
          <w:i/>
          <w:iCs/>
          <w:sz w:val="20"/>
          <w:szCs w:val="20"/>
          <w:lang w:val="en-GB"/>
        </w:rPr>
        <w:t xml:space="preserve"> </w:t>
      </w:r>
      <w:r w:rsidR="00571934" w:rsidRPr="00365574">
        <w:rPr>
          <w:i/>
          <w:iCs/>
          <w:sz w:val="20"/>
          <w:szCs w:val="20"/>
          <w:lang w:val="en-GB"/>
        </w:rPr>
        <w:t>is likely to fundamentally transform the structure of the Polish investment market over the</w:t>
      </w:r>
      <w:r w:rsidR="0006485F" w:rsidRPr="00365574">
        <w:rPr>
          <w:i/>
          <w:iCs/>
          <w:sz w:val="20"/>
          <w:szCs w:val="20"/>
          <w:lang w:val="en-GB"/>
        </w:rPr>
        <w:t xml:space="preserve"> longer term,”</w:t>
      </w:r>
      <w:r w:rsidR="00610082" w:rsidRPr="00365574">
        <w:rPr>
          <w:sz w:val="20"/>
          <w:szCs w:val="20"/>
          <w:lang w:val="en-GB"/>
        </w:rPr>
        <w:t xml:space="preserve"> </w:t>
      </w:r>
      <w:r w:rsidR="00D906DF" w:rsidRPr="00365574">
        <w:rPr>
          <w:sz w:val="20"/>
          <w:szCs w:val="20"/>
          <w:lang w:val="en-GB"/>
        </w:rPr>
        <w:t>says</w:t>
      </w:r>
      <w:r w:rsidR="00610082" w:rsidRPr="00365574">
        <w:rPr>
          <w:sz w:val="20"/>
          <w:szCs w:val="20"/>
          <w:lang w:val="en-GB"/>
        </w:rPr>
        <w:t xml:space="preserve"> </w:t>
      </w:r>
      <w:r w:rsidR="00094FE7" w:rsidRPr="00365574">
        <w:rPr>
          <w:b/>
          <w:bCs/>
          <w:sz w:val="20"/>
          <w:szCs w:val="20"/>
          <w:lang w:val="en-GB"/>
        </w:rPr>
        <w:t>Marcin Kocerba, Partner, Capital Markets, Cushman &amp; Wakefield</w:t>
      </w:r>
      <w:r w:rsidR="00610082" w:rsidRPr="00365574">
        <w:rPr>
          <w:b/>
          <w:bCs/>
          <w:sz w:val="20"/>
          <w:szCs w:val="20"/>
          <w:lang w:val="en-GB"/>
        </w:rPr>
        <w:t>.</w:t>
      </w:r>
    </w:p>
    <w:p w14:paraId="574AD3AB" w14:textId="14422E22" w:rsidR="00610082" w:rsidRPr="00365574" w:rsidRDefault="00E84827" w:rsidP="00610082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365574">
        <w:rPr>
          <w:b/>
          <w:bCs/>
          <w:sz w:val="20"/>
          <w:szCs w:val="20"/>
          <w:lang w:val="en-GB"/>
        </w:rPr>
        <w:t xml:space="preserve">Each market segment </w:t>
      </w:r>
      <w:r w:rsidR="00DF1145">
        <w:rPr>
          <w:b/>
          <w:bCs/>
          <w:sz w:val="20"/>
          <w:szCs w:val="20"/>
          <w:lang w:val="en-GB"/>
        </w:rPr>
        <w:t xml:space="preserve">tells </w:t>
      </w:r>
      <w:r w:rsidR="009C0676">
        <w:rPr>
          <w:b/>
          <w:bCs/>
          <w:sz w:val="20"/>
          <w:szCs w:val="20"/>
          <w:lang w:val="en-GB"/>
        </w:rPr>
        <w:t>its own</w:t>
      </w:r>
      <w:r w:rsidR="00DF1145">
        <w:rPr>
          <w:b/>
          <w:bCs/>
          <w:sz w:val="20"/>
          <w:szCs w:val="20"/>
          <w:lang w:val="en-GB"/>
        </w:rPr>
        <w:t xml:space="preserve"> story</w:t>
      </w:r>
    </w:p>
    <w:p w14:paraId="6CA726A7" w14:textId="0B79DEC3" w:rsidR="00610082" w:rsidRPr="00365574" w:rsidRDefault="00C26D3F" w:rsidP="00610082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sz w:val="20"/>
          <w:szCs w:val="20"/>
          <w:lang w:val="en-GB"/>
        </w:rPr>
        <w:t xml:space="preserve">Offices </w:t>
      </w:r>
      <w:r w:rsidR="004D279C" w:rsidRPr="00365574">
        <w:rPr>
          <w:sz w:val="20"/>
          <w:szCs w:val="20"/>
          <w:lang w:val="en-GB"/>
        </w:rPr>
        <w:t>emerged</w:t>
      </w:r>
      <w:r w:rsidR="00186AEB" w:rsidRPr="00365574">
        <w:rPr>
          <w:sz w:val="20"/>
          <w:szCs w:val="20"/>
          <w:lang w:val="en-GB"/>
        </w:rPr>
        <w:t xml:space="preserve"> </w:t>
      </w:r>
      <w:r w:rsidR="004D279C" w:rsidRPr="00365574">
        <w:rPr>
          <w:sz w:val="20"/>
          <w:szCs w:val="20"/>
          <w:lang w:val="en-GB"/>
        </w:rPr>
        <w:t xml:space="preserve">as </w:t>
      </w:r>
      <w:r w:rsidR="00186AEB" w:rsidRPr="00365574">
        <w:rPr>
          <w:sz w:val="20"/>
          <w:szCs w:val="20"/>
          <w:lang w:val="en-GB"/>
        </w:rPr>
        <w:t>the top performer</w:t>
      </w:r>
      <w:r w:rsidR="00877183" w:rsidRPr="00365574">
        <w:rPr>
          <w:sz w:val="20"/>
          <w:szCs w:val="20"/>
          <w:lang w:val="en-GB"/>
        </w:rPr>
        <w:t>,</w:t>
      </w:r>
      <w:r w:rsidR="003E15CA" w:rsidRPr="00365574">
        <w:rPr>
          <w:sz w:val="20"/>
          <w:szCs w:val="20"/>
          <w:lang w:val="en-GB"/>
        </w:rPr>
        <w:t xml:space="preserve"> </w:t>
      </w:r>
      <w:r w:rsidR="00681862" w:rsidRPr="00365574">
        <w:rPr>
          <w:sz w:val="20"/>
          <w:szCs w:val="20"/>
          <w:lang w:val="en-GB"/>
        </w:rPr>
        <w:t>with more than EUR 1.74 billion worth of transactions</w:t>
      </w:r>
      <w:r w:rsidR="003E15CA" w:rsidRPr="00365574">
        <w:rPr>
          <w:sz w:val="20"/>
          <w:szCs w:val="20"/>
          <w:lang w:val="en-GB"/>
        </w:rPr>
        <w:t xml:space="preserve">, taking the largest share of </w:t>
      </w:r>
      <w:r w:rsidR="00681862" w:rsidRPr="00365574">
        <w:rPr>
          <w:sz w:val="20"/>
          <w:szCs w:val="20"/>
          <w:lang w:val="en-GB"/>
        </w:rPr>
        <w:t xml:space="preserve">2025’s </w:t>
      </w:r>
      <w:r w:rsidR="003E15CA" w:rsidRPr="00365574">
        <w:rPr>
          <w:sz w:val="20"/>
          <w:szCs w:val="20"/>
          <w:lang w:val="en-GB"/>
        </w:rPr>
        <w:t>total investment volum</w:t>
      </w:r>
      <w:r w:rsidR="00681862" w:rsidRPr="00365574">
        <w:rPr>
          <w:sz w:val="20"/>
          <w:szCs w:val="20"/>
          <w:lang w:val="en-GB"/>
        </w:rPr>
        <w:t>e</w:t>
      </w:r>
      <w:r w:rsidR="00953D5C" w:rsidRPr="00365574">
        <w:rPr>
          <w:sz w:val="20"/>
          <w:szCs w:val="20"/>
          <w:lang w:val="en-GB"/>
        </w:rPr>
        <w:t xml:space="preserve">. </w:t>
      </w:r>
      <w:r w:rsidR="00A068FB">
        <w:rPr>
          <w:sz w:val="20"/>
          <w:szCs w:val="20"/>
          <w:lang w:val="en-GB"/>
        </w:rPr>
        <w:t>Investment a</w:t>
      </w:r>
      <w:r w:rsidR="00953D5C" w:rsidRPr="00365574">
        <w:rPr>
          <w:sz w:val="20"/>
          <w:szCs w:val="20"/>
          <w:lang w:val="en-GB"/>
        </w:rPr>
        <w:t>ctivity was</w:t>
      </w:r>
      <w:r w:rsidR="00681862" w:rsidRPr="00365574">
        <w:rPr>
          <w:sz w:val="20"/>
          <w:szCs w:val="20"/>
          <w:lang w:val="en-GB"/>
        </w:rPr>
        <w:t xml:space="preserve"> largely driven by Warsaw</w:t>
      </w:r>
      <w:r w:rsidR="0085574A" w:rsidRPr="00365574">
        <w:rPr>
          <w:sz w:val="20"/>
          <w:szCs w:val="20"/>
          <w:lang w:val="en-GB"/>
        </w:rPr>
        <w:t>, particularly</w:t>
      </w:r>
      <w:r w:rsidR="00E2368F" w:rsidRPr="00365574">
        <w:rPr>
          <w:sz w:val="20"/>
          <w:szCs w:val="20"/>
          <w:lang w:val="en-GB"/>
        </w:rPr>
        <w:t xml:space="preserve"> central locations experiencing low supply levels and rising rental rates, although </w:t>
      </w:r>
      <w:r w:rsidR="00892CDB" w:rsidRPr="00365574">
        <w:rPr>
          <w:sz w:val="20"/>
          <w:szCs w:val="20"/>
          <w:lang w:val="en-GB"/>
        </w:rPr>
        <w:t xml:space="preserve">activity also picked </w:t>
      </w:r>
      <w:r w:rsidR="003E7208" w:rsidRPr="00365574">
        <w:rPr>
          <w:sz w:val="20"/>
          <w:szCs w:val="20"/>
          <w:lang w:val="en-GB"/>
        </w:rPr>
        <w:t xml:space="preserve">up </w:t>
      </w:r>
      <w:r w:rsidR="00892CDB" w:rsidRPr="00365574">
        <w:rPr>
          <w:sz w:val="20"/>
          <w:szCs w:val="20"/>
          <w:lang w:val="en-GB"/>
        </w:rPr>
        <w:t>in non-central locations</w:t>
      </w:r>
      <w:r w:rsidR="003E7208" w:rsidRPr="00365574">
        <w:rPr>
          <w:sz w:val="20"/>
          <w:szCs w:val="20"/>
          <w:lang w:val="en-GB"/>
        </w:rPr>
        <w:t xml:space="preserve"> of the capital</w:t>
      </w:r>
      <w:r w:rsidR="00892CDB" w:rsidRPr="00365574">
        <w:rPr>
          <w:sz w:val="20"/>
          <w:szCs w:val="20"/>
          <w:lang w:val="en-GB"/>
        </w:rPr>
        <w:t xml:space="preserve">. Importantly, </w:t>
      </w:r>
      <w:r w:rsidR="00CF1EFA" w:rsidRPr="00365574">
        <w:rPr>
          <w:sz w:val="20"/>
          <w:szCs w:val="20"/>
          <w:lang w:val="en-GB"/>
        </w:rPr>
        <w:t xml:space="preserve">domestic capital accounted for </w:t>
      </w:r>
      <w:r w:rsidR="00496422" w:rsidRPr="00365574">
        <w:rPr>
          <w:sz w:val="20"/>
          <w:szCs w:val="20"/>
          <w:lang w:val="en-GB"/>
        </w:rPr>
        <w:t>as much as one</w:t>
      </w:r>
      <w:r w:rsidR="008A74E8" w:rsidRPr="00365574">
        <w:rPr>
          <w:sz w:val="20"/>
          <w:szCs w:val="20"/>
          <w:lang w:val="en-GB"/>
        </w:rPr>
        <w:t>-</w:t>
      </w:r>
      <w:r w:rsidR="00496422" w:rsidRPr="00365574">
        <w:rPr>
          <w:sz w:val="20"/>
          <w:szCs w:val="20"/>
          <w:lang w:val="en-GB"/>
        </w:rPr>
        <w:t>third of office transactions across Poland</w:t>
      </w:r>
      <w:r w:rsidR="00610082" w:rsidRPr="00365574">
        <w:rPr>
          <w:sz w:val="20"/>
          <w:szCs w:val="20"/>
          <w:lang w:val="en-GB"/>
        </w:rPr>
        <w:t>.</w:t>
      </w:r>
    </w:p>
    <w:p w14:paraId="6382C535" w14:textId="702B622D" w:rsidR="00610082" w:rsidRPr="00365574" w:rsidRDefault="00496422" w:rsidP="00610082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sz w:val="20"/>
          <w:szCs w:val="20"/>
          <w:lang w:val="en-GB"/>
        </w:rPr>
        <w:t>With EUR 1.33 billion</w:t>
      </w:r>
      <w:r w:rsidR="00C95F88" w:rsidRPr="00365574">
        <w:rPr>
          <w:sz w:val="20"/>
          <w:szCs w:val="20"/>
          <w:lang w:val="en-GB"/>
        </w:rPr>
        <w:t xml:space="preserve"> invested, the warehouse sector came second. </w:t>
      </w:r>
      <w:r w:rsidR="00990312" w:rsidRPr="00365574">
        <w:rPr>
          <w:sz w:val="20"/>
          <w:szCs w:val="20"/>
          <w:lang w:val="en-GB"/>
        </w:rPr>
        <w:t>Th</w:t>
      </w:r>
      <w:r w:rsidR="006F5E45" w:rsidRPr="00365574">
        <w:rPr>
          <w:sz w:val="20"/>
          <w:szCs w:val="20"/>
          <w:lang w:val="en-GB"/>
        </w:rPr>
        <w:t>e</w:t>
      </w:r>
      <w:r w:rsidR="00990312" w:rsidRPr="00365574">
        <w:rPr>
          <w:sz w:val="20"/>
          <w:szCs w:val="20"/>
          <w:lang w:val="en-GB"/>
        </w:rPr>
        <w:t xml:space="preserve"> sector continues to benefit from long-term trends such as e-commerce</w:t>
      </w:r>
      <w:r w:rsidR="006F5E45" w:rsidRPr="00365574">
        <w:rPr>
          <w:sz w:val="20"/>
          <w:szCs w:val="20"/>
          <w:lang w:val="en-GB"/>
        </w:rPr>
        <w:t xml:space="preserve"> growth</w:t>
      </w:r>
      <w:r w:rsidR="00990312" w:rsidRPr="00365574">
        <w:rPr>
          <w:sz w:val="20"/>
          <w:szCs w:val="20"/>
          <w:lang w:val="en-GB"/>
        </w:rPr>
        <w:t xml:space="preserve">, nearshoring and supply chain </w:t>
      </w:r>
      <w:r w:rsidR="004704D3" w:rsidRPr="00365574">
        <w:rPr>
          <w:sz w:val="20"/>
          <w:szCs w:val="20"/>
          <w:lang w:val="en-GB"/>
        </w:rPr>
        <w:t xml:space="preserve">digitalisation, with transactions strongly </w:t>
      </w:r>
      <w:r w:rsidR="004704D3" w:rsidRPr="00935150">
        <w:rPr>
          <w:sz w:val="20"/>
          <w:szCs w:val="20"/>
          <w:lang w:val="en-GB"/>
        </w:rPr>
        <w:t xml:space="preserve">oriented </w:t>
      </w:r>
      <w:r w:rsidR="006B2A82" w:rsidRPr="00935150">
        <w:rPr>
          <w:sz w:val="20"/>
          <w:szCs w:val="20"/>
          <w:lang w:val="en-GB"/>
        </w:rPr>
        <w:t>towards high</w:t>
      </w:r>
      <w:r w:rsidR="006B2A82" w:rsidRPr="00365574">
        <w:rPr>
          <w:sz w:val="20"/>
          <w:szCs w:val="20"/>
          <w:lang w:val="en-GB"/>
        </w:rPr>
        <w:t xml:space="preserve"> </w:t>
      </w:r>
      <w:r w:rsidR="004704D3" w:rsidRPr="00365574">
        <w:rPr>
          <w:sz w:val="20"/>
          <w:szCs w:val="20"/>
          <w:lang w:val="en-GB"/>
        </w:rPr>
        <w:t xml:space="preserve">quality. </w:t>
      </w:r>
      <w:r w:rsidR="00BA10CB" w:rsidRPr="00365574">
        <w:rPr>
          <w:sz w:val="20"/>
          <w:szCs w:val="20"/>
          <w:lang w:val="en-GB"/>
        </w:rPr>
        <w:t xml:space="preserve">The largest deal in this segment </w:t>
      </w:r>
      <w:r w:rsidR="004E30B9" w:rsidRPr="00365574">
        <w:rPr>
          <w:sz w:val="20"/>
          <w:szCs w:val="20"/>
          <w:lang w:val="en-GB"/>
        </w:rPr>
        <w:t xml:space="preserve">– </w:t>
      </w:r>
      <w:r w:rsidR="00BA10CB" w:rsidRPr="00365574">
        <w:rPr>
          <w:sz w:val="20"/>
          <w:szCs w:val="20"/>
          <w:lang w:val="en-GB"/>
        </w:rPr>
        <w:t xml:space="preserve">and </w:t>
      </w:r>
      <w:r w:rsidR="004E30B9" w:rsidRPr="00365574">
        <w:rPr>
          <w:sz w:val="20"/>
          <w:szCs w:val="20"/>
          <w:lang w:val="en-GB"/>
        </w:rPr>
        <w:t xml:space="preserve">in </w:t>
      </w:r>
      <w:r w:rsidR="000E7393" w:rsidRPr="00365574">
        <w:rPr>
          <w:sz w:val="20"/>
          <w:szCs w:val="20"/>
          <w:lang w:val="en-GB"/>
        </w:rPr>
        <w:t xml:space="preserve">the </w:t>
      </w:r>
      <w:r w:rsidR="00152129" w:rsidRPr="00365574">
        <w:rPr>
          <w:sz w:val="20"/>
          <w:szCs w:val="20"/>
          <w:lang w:val="en-GB"/>
        </w:rPr>
        <w:t xml:space="preserve">commercial property market overall </w:t>
      </w:r>
      <w:r w:rsidR="004E30B9" w:rsidRPr="00365574">
        <w:rPr>
          <w:sz w:val="20"/>
          <w:szCs w:val="20"/>
          <w:lang w:val="en-GB"/>
        </w:rPr>
        <w:t xml:space="preserve">– was Realty Income’s </w:t>
      </w:r>
      <w:r w:rsidR="000E7393" w:rsidRPr="00365574">
        <w:rPr>
          <w:sz w:val="20"/>
          <w:szCs w:val="20"/>
          <w:lang w:val="en-GB"/>
        </w:rPr>
        <w:t>acquisition of two</w:t>
      </w:r>
      <w:r w:rsidR="00E02063" w:rsidRPr="00365574">
        <w:rPr>
          <w:sz w:val="20"/>
          <w:szCs w:val="20"/>
          <w:lang w:val="en-GB"/>
        </w:rPr>
        <w:t xml:space="preserve"> assets from EKO-</w:t>
      </w:r>
      <w:proofErr w:type="spellStart"/>
      <w:r w:rsidR="00E02063" w:rsidRPr="00365574">
        <w:rPr>
          <w:sz w:val="20"/>
          <w:szCs w:val="20"/>
          <w:lang w:val="en-GB"/>
        </w:rPr>
        <w:t>OKNA</w:t>
      </w:r>
      <w:proofErr w:type="spellEnd"/>
      <w:r w:rsidR="00E02063" w:rsidRPr="00365574">
        <w:rPr>
          <w:sz w:val="20"/>
          <w:szCs w:val="20"/>
          <w:lang w:val="en-GB"/>
        </w:rPr>
        <w:t xml:space="preserve"> </w:t>
      </w:r>
      <w:r w:rsidR="004A05C3">
        <w:rPr>
          <w:sz w:val="20"/>
          <w:szCs w:val="20"/>
          <w:lang w:val="en-GB"/>
        </w:rPr>
        <w:t>in</w:t>
      </w:r>
      <w:r w:rsidR="00E02063" w:rsidRPr="00365574">
        <w:rPr>
          <w:sz w:val="20"/>
          <w:szCs w:val="20"/>
          <w:lang w:val="en-GB"/>
        </w:rPr>
        <w:t xml:space="preserve"> a sale</w:t>
      </w:r>
      <w:r w:rsidR="0011087F">
        <w:rPr>
          <w:sz w:val="20"/>
          <w:szCs w:val="20"/>
          <w:lang w:val="en-GB"/>
        </w:rPr>
        <w:t>-and-</w:t>
      </w:r>
      <w:r w:rsidR="00E02063" w:rsidRPr="00365574">
        <w:rPr>
          <w:sz w:val="20"/>
          <w:szCs w:val="20"/>
          <w:lang w:val="en-GB"/>
        </w:rPr>
        <w:t>leaseback transaction</w:t>
      </w:r>
      <w:r w:rsidR="00610082" w:rsidRPr="00365574">
        <w:rPr>
          <w:sz w:val="20"/>
          <w:szCs w:val="20"/>
          <w:lang w:val="en-GB"/>
        </w:rPr>
        <w:t>.</w:t>
      </w:r>
    </w:p>
    <w:p w14:paraId="40A88E39" w14:textId="4BB04BFF" w:rsidR="00610082" w:rsidRPr="00365574" w:rsidRDefault="008517A6" w:rsidP="00610082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sz w:val="20"/>
          <w:szCs w:val="20"/>
          <w:lang w:val="en-GB"/>
        </w:rPr>
        <w:t>The retail market closed 2025 with a transaction volume of nearly EUR 900 million.</w:t>
      </w:r>
      <w:r w:rsidR="00FF22E4" w:rsidRPr="00365574">
        <w:rPr>
          <w:sz w:val="20"/>
          <w:szCs w:val="20"/>
          <w:lang w:val="en-GB"/>
        </w:rPr>
        <w:t xml:space="preserve"> While investment activity was dominated by retail parks, which continue to offer stable </w:t>
      </w:r>
      <w:r w:rsidR="00487639" w:rsidRPr="00365574">
        <w:rPr>
          <w:sz w:val="20"/>
          <w:szCs w:val="20"/>
          <w:lang w:val="en-GB"/>
        </w:rPr>
        <w:t>income streams and high liquidity, there was also renewed interest in larger</w:t>
      </w:r>
      <w:r w:rsidR="00135A21" w:rsidRPr="00365574">
        <w:rPr>
          <w:sz w:val="20"/>
          <w:szCs w:val="20"/>
          <w:lang w:val="en-GB"/>
        </w:rPr>
        <w:t>, well-established shopping centres</w:t>
      </w:r>
      <w:r w:rsidR="00610082" w:rsidRPr="00365574">
        <w:rPr>
          <w:sz w:val="20"/>
          <w:szCs w:val="20"/>
          <w:lang w:val="en-GB"/>
        </w:rPr>
        <w:t>.</w:t>
      </w:r>
    </w:p>
    <w:p w14:paraId="34A09F8F" w14:textId="42E8C9C2" w:rsidR="00610082" w:rsidRPr="00365574" w:rsidRDefault="00A05099" w:rsidP="00610082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i/>
          <w:iCs/>
          <w:sz w:val="20"/>
          <w:szCs w:val="20"/>
          <w:lang w:val="en-GB"/>
        </w:rPr>
        <w:t>“</w:t>
      </w:r>
      <w:r w:rsidR="00135A21" w:rsidRPr="00365574">
        <w:rPr>
          <w:i/>
          <w:iCs/>
          <w:sz w:val="20"/>
          <w:szCs w:val="20"/>
          <w:lang w:val="en-GB"/>
        </w:rPr>
        <w:t xml:space="preserve">The decline </w:t>
      </w:r>
      <w:r w:rsidR="00F51972" w:rsidRPr="00365574">
        <w:rPr>
          <w:i/>
          <w:iCs/>
          <w:sz w:val="20"/>
          <w:szCs w:val="20"/>
          <w:lang w:val="en-GB"/>
        </w:rPr>
        <w:t xml:space="preserve">of over 10 per cent </w:t>
      </w:r>
      <w:r w:rsidR="00135A21" w:rsidRPr="00365574">
        <w:rPr>
          <w:i/>
          <w:iCs/>
          <w:sz w:val="20"/>
          <w:szCs w:val="20"/>
          <w:lang w:val="en-GB"/>
        </w:rPr>
        <w:t>in</w:t>
      </w:r>
      <w:r w:rsidR="004139FE">
        <w:rPr>
          <w:i/>
          <w:iCs/>
          <w:sz w:val="20"/>
          <w:szCs w:val="20"/>
          <w:lang w:val="en-GB"/>
        </w:rPr>
        <w:t xml:space="preserve"> the 2025</w:t>
      </w:r>
      <w:r w:rsidR="00135A21" w:rsidRPr="00365574">
        <w:rPr>
          <w:i/>
          <w:iCs/>
          <w:sz w:val="20"/>
          <w:szCs w:val="20"/>
          <w:lang w:val="en-GB"/>
        </w:rPr>
        <w:t xml:space="preserve"> </w:t>
      </w:r>
      <w:r w:rsidRPr="00365574">
        <w:rPr>
          <w:i/>
          <w:iCs/>
          <w:sz w:val="20"/>
          <w:szCs w:val="20"/>
          <w:lang w:val="en-GB"/>
        </w:rPr>
        <w:t xml:space="preserve">investment volume was largely due </w:t>
      </w:r>
      <w:r w:rsidRPr="00181835">
        <w:rPr>
          <w:i/>
          <w:iCs/>
          <w:sz w:val="20"/>
          <w:szCs w:val="20"/>
          <w:lang w:val="en-GB"/>
        </w:rPr>
        <w:t>to a</w:t>
      </w:r>
      <w:r w:rsidR="00E7454C" w:rsidRPr="00181835">
        <w:rPr>
          <w:i/>
          <w:iCs/>
          <w:sz w:val="20"/>
          <w:szCs w:val="20"/>
          <w:lang w:val="en-GB"/>
        </w:rPr>
        <w:t xml:space="preserve"> dearth of sales</w:t>
      </w:r>
      <w:r w:rsidR="00E7454C" w:rsidRPr="00365574">
        <w:rPr>
          <w:i/>
          <w:iCs/>
          <w:sz w:val="20"/>
          <w:szCs w:val="20"/>
          <w:lang w:val="en-GB"/>
        </w:rPr>
        <w:t xml:space="preserve"> of large and dominant retail </w:t>
      </w:r>
      <w:r w:rsidR="00C17207" w:rsidRPr="00365574">
        <w:rPr>
          <w:i/>
          <w:iCs/>
          <w:sz w:val="20"/>
          <w:szCs w:val="20"/>
          <w:lang w:val="en-GB"/>
        </w:rPr>
        <w:t>assets</w:t>
      </w:r>
      <w:r w:rsidR="00E7454C" w:rsidRPr="00365574">
        <w:rPr>
          <w:i/>
          <w:iCs/>
          <w:sz w:val="20"/>
          <w:szCs w:val="20"/>
          <w:lang w:val="en-GB"/>
        </w:rPr>
        <w:t xml:space="preserve">. </w:t>
      </w:r>
      <w:r w:rsidR="004774A1" w:rsidRPr="00365574">
        <w:rPr>
          <w:i/>
          <w:iCs/>
          <w:sz w:val="20"/>
          <w:szCs w:val="20"/>
          <w:lang w:val="en-GB"/>
        </w:rPr>
        <w:t xml:space="preserve">At the same time, we </w:t>
      </w:r>
      <w:r w:rsidR="00963230" w:rsidRPr="00365574">
        <w:rPr>
          <w:i/>
          <w:iCs/>
          <w:sz w:val="20"/>
          <w:szCs w:val="20"/>
          <w:lang w:val="en-GB"/>
        </w:rPr>
        <w:t xml:space="preserve">are seeing </w:t>
      </w:r>
      <w:r w:rsidR="009D34A3" w:rsidRPr="00365574">
        <w:rPr>
          <w:i/>
          <w:iCs/>
          <w:sz w:val="20"/>
          <w:szCs w:val="20"/>
          <w:lang w:val="en-GB"/>
        </w:rPr>
        <w:t xml:space="preserve">market </w:t>
      </w:r>
      <w:r w:rsidR="0042354B" w:rsidRPr="00365574">
        <w:rPr>
          <w:i/>
          <w:iCs/>
          <w:sz w:val="20"/>
          <w:szCs w:val="20"/>
          <w:lang w:val="en-GB"/>
        </w:rPr>
        <w:t>confidence</w:t>
      </w:r>
      <w:r w:rsidR="002E6780">
        <w:rPr>
          <w:i/>
          <w:iCs/>
          <w:sz w:val="20"/>
          <w:szCs w:val="20"/>
          <w:lang w:val="en-GB"/>
        </w:rPr>
        <w:t xml:space="preserve"> recover</w:t>
      </w:r>
      <w:r w:rsidR="003F682E" w:rsidRPr="00365574">
        <w:rPr>
          <w:i/>
          <w:iCs/>
          <w:sz w:val="20"/>
          <w:szCs w:val="20"/>
          <w:lang w:val="en-GB"/>
        </w:rPr>
        <w:t xml:space="preserve">, with </w:t>
      </w:r>
      <w:r w:rsidR="005E2972">
        <w:rPr>
          <w:i/>
          <w:iCs/>
          <w:sz w:val="20"/>
          <w:szCs w:val="20"/>
          <w:lang w:val="en-GB"/>
        </w:rPr>
        <w:t>W</w:t>
      </w:r>
      <w:r w:rsidR="00C17207" w:rsidRPr="00365574">
        <w:rPr>
          <w:i/>
          <w:iCs/>
          <w:sz w:val="20"/>
          <w:szCs w:val="20"/>
          <w:lang w:val="en-GB"/>
        </w:rPr>
        <w:t xml:space="preserve">estern </w:t>
      </w:r>
      <w:r w:rsidR="003F682E" w:rsidRPr="00365574">
        <w:rPr>
          <w:i/>
          <w:iCs/>
          <w:sz w:val="20"/>
          <w:szCs w:val="20"/>
          <w:lang w:val="en-GB"/>
        </w:rPr>
        <w:t xml:space="preserve">investors, including </w:t>
      </w:r>
      <w:r w:rsidR="00C17207" w:rsidRPr="00365574">
        <w:rPr>
          <w:i/>
          <w:iCs/>
          <w:sz w:val="20"/>
          <w:szCs w:val="20"/>
          <w:lang w:val="en-GB"/>
        </w:rPr>
        <w:t xml:space="preserve">those from </w:t>
      </w:r>
      <w:r w:rsidR="003F682E" w:rsidRPr="00365574">
        <w:rPr>
          <w:i/>
          <w:iCs/>
          <w:sz w:val="20"/>
          <w:szCs w:val="20"/>
          <w:lang w:val="en-GB"/>
        </w:rPr>
        <w:t>France, the UK and the US, increasingly re</w:t>
      </w:r>
      <w:r w:rsidR="00D90624">
        <w:rPr>
          <w:i/>
          <w:iCs/>
          <w:sz w:val="20"/>
          <w:szCs w:val="20"/>
          <w:lang w:val="en-GB"/>
        </w:rPr>
        <w:t>visiting</w:t>
      </w:r>
      <w:r w:rsidR="00DC0110" w:rsidRPr="00365574">
        <w:rPr>
          <w:i/>
          <w:iCs/>
          <w:sz w:val="20"/>
          <w:szCs w:val="20"/>
          <w:lang w:val="en-GB"/>
        </w:rPr>
        <w:t xml:space="preserve"> </w:t>
      </w:r>
      <w:r w:rsidR="00FC7D07" w:rsidRPr="00365574">
        <w:rPr>
          <w:i/>
          <w:iCs/>
          <w:sz w:val="20"/>
          <w:szCs w:val="20"/>
          <w:lang w:val="en-GB"/>
        </w:rPr>
        <w:t xml:space="preserve">assets in Poland. The warehouse and office sectors are </w:t>
      </w:r>
      <w:r w:rsidR="002745A6">
        <w:rPr>
          <w:i/>
          <w:iCs/>
          <w:sz w:val="20"/>
          <w:szCs w:val="20"/>
          <w:lang w:val="en-GB"/>
        </w:rPr>
        <w:t>seeing</w:t>
      </w:r>
      <w:r w:rsidR="00FC7D07" w:rsidRPr="00365574">
        <w:rPr>
          <w:i/>
          <w:iCs/>
          <w:sz w:val="20"/>
          <w:szCs w:val="20"/>
          <w:lang w:val="en-GB"/>
        </w:rPr>
        <w:t xml:space="preserve"> </w:t>
      </w:r>
      <w:r w:rsidR="00D76293">
        <w:rPr>
          <w:i/>
          <w:iCs/>
          <w:sz w:val="20"/>
          <w:szCs w:val="20"/>
          <w:lang w:val="en-GB"/>
        </w:rPr>
        <w:t>robust</w:t>
      </w:r>
      <w:r w:rsidR="00FC7D07" w:rsidRPr="00365574">
        <w:rPr>
          <w:i/>
          <w:iCs/>
          <w:sz w:val="20"/>
          <w:szCs w:val="20"/>
          <w:lang w:val="en-GB"/>
        </w:rPr>
        <w:t xml:space="preserve"> demand for </w:t>
      </w:r>
      <w:r w:rsidR="00DC0110" w:rsidRPr="00365574">
        <w:rPr>
          <w:i/>
          <w:iCs/>
          <w:sz w:val="20"/>
          <w:szCs w:val="20"/>
          <w:lang w:val="en-GB"/>
        </w:rPr>
        <w:t>high-</w:t>
      </w:r>
      <w:r w:rsidR="00FC7D07" w:rsidRPr="00365574">
        <w:rPr>
          <w:i/>
          <w:iCs/>
          <w:sz w:val="20"/>
          <w:szCs w:val="20"/>
          <w:lang w:val="en-GB"/>
        </w:rPr>
        <w:t xml:space="preserve">quality </w:t>
      </w:r>
      <w:r w:rsidR="00771778" w:rsidRPr="00365574">
        <w:rPr>
          <w:i/>
          <w:iCs/>
          <w:sz w:val="20"/>
          <w:szCs w:val="20"/>
          <w:lang w:val="en-GB"/>
        </w:rPr>
        <w:t xml:space="preserve">assets with a strong track record, </w:t>
      </w:r>
      <w:r w:rsidR="00A132B6" w:rsidRPr="00365574">
        <w:rPr>
          <w:i/>
          <w:iCs/>
          <w:sz w:val="20"/>
          <w:szCs w:val="20"/>
          <w:lang w:val="en-GB"/>
        </w:rPr>
        <w:t>while</w:t>
      </w:r>
      <w:r w:rsidR="00771778" w:rsidRPr="00365574">
        <w:rPr>
          <w:i/>
          <w:iCs/>
          <w:sz w:val="20"/>
          <w:szCs w:val="20"/>
          <w:lang w:val="en-GB"/>
        </w:rPr>
        <w:t xml:space="preserve"> pricing </w:t>
      </w:r>
      <w:r w:rsidR="009D01A0">
        <w:rPr>
          <w:i/>
          <w:iCs/>
          <w:sz w:val="20"/>
          <w:szCs w:val="20"/>
          <w:lang w:val="en-GB"/>
        </w:rPr>
        <w:t xml:space="preserve">is </w:t>
      </w:r>
      <w:r w:rsidR="00771778" w:rsidRPr="00365574">
        <w:rPr>
          <w:i/>
          <w:iCs/>
          <w:sz w:val="20"/>
          <w:szCs w:val="20"/>
          <w:lang w:val="en-GB"/>
        </w:rPr>
        <w:t xml:space="preserve">becoming acceptable to both </w:t>
      </w:r>
      <w:r w:rsidR="00A132B6" w:rsidRPr="00365574">
        <w:rPr>
          <w:i/>
          <w:iCs/>
          <w:sz w:val="20"/>
          <w:szCs w:val="20"/>
          <w:lang w:val="en-GB"/>
        </w:rPr>
        <w:t>sides</w:t>
      </w:r>
      <w:r w:rsidR="00AD20B9" w:rsidRPr="00365574">
        <w:rPr>
          <w:i/>
          <w:iCs/>
          <w:sz w:val="20"/>
          <w:szCs w:val="20"/>
          <w:lang w:val="en-GB"/>
        </w:rPr>
        <w:t xml:space="preserve"> of transactions. If this trend continues, 2026 </w:t>
      </w:r>
      <w:r w:rsidR="00A132B6" w:rsidRPr="00365574">
        <w:rPr>
          <w:i/>
          <w:iCs/>
          <w:sz w:val="20"/>
          <w:szCs w:val="20"/>
          <w:lang w:val="en-GB"/>
        </w:rPr>
        <w:t>could</w:t>
      </w:r>
      <w:r w:rsidR="00AD20B9" w:rsidRPr="00365574">
        <w:rPr>
          <w:i/>
          <w:iCs/>
          <w:sz w:val="20"/>
          <w:szCs w:val="20"/>
          <w:lang w:val="en-GB"/>
        </w:rPr>
        <w:t xml:space="preserve"> </w:t>
      </w:r>
      <w:r w:rsidR="001F37BD" w:rsidRPr="00365574">
        <w:rPr>
          <w:i/>
          <w:iCs/>
          <w:sz w:val="20"/>
          <w:szCs w:val="20"/>
          <w:lang w:val="en-GB"/>
        </w:rPr>
        <w:t>mark an inflection point</w:t>
      </w:r>
      <w:r w:rsidR="00A132B6" w:rsidRPr="00365574">
        <w:rPr>
          <w:i/>
          <w:iCs/>
          <w:sz w:val="20"/>
          <w:szCs w:val="20"/>
          <w:lang w:val="en-GB"/>
        </w:rPr>
        <w:t xml:space="preserve"> for the market</w:t>
      </w:r>
      <w:r w:rsidR="001F37BD" w:rsidRPr="00365574">
        <w:rPr>
          <w:i/>
          <w:iCs/>
          <w:sz w:val="20"/>
          <w:szCs w:val="20"/>
          <w:lang w:val="en-GB"/>
        </w:rPr>
        <w:t xml:space="preserve">, especially if core funds </w:t>
      </w:r>
      <w:r w:rsidR="00A132B6" w:rsidRPr="00365574">
        <w:rPr>
          <w:i/>
          <w:iCs/>
          <w:sz w:val="20"/>
          <w:szCs w:val="20"/>
          <w:lang w:val="en-GB"/>
        </w:rPr>
        <w:t>return</w:t>
      </w:r>
      <w:r w:rsidR="007248B2" w:rsidRPr="00365574">
        <w:rPr>
          <w:i/>
          <w:iCs/>
          <w:sz w:val="20"/>
          <w:szCs w:val="20"/>
          <w:lang w:val="en-GB"/>
        </w:rPr>
        <w:t>,”</w:t>
      </w:r>
      <w:r w:rsidR="00610082" w:rsidRPr="00365574">
        <w:rPr>
          <w:sz w:val="20"/>
          <w:szCs w:val="20"/>
          <w:lang w:val="en-GB"/>
        </w:rPr>
        <w:t xml:space="preserve"> </w:t>
      </w:r>
      <w:r w:rsidR="007248B2" w:rsidRPr="00365574">
        <w:rPr>
          <w:sz w:val="20"/>
          <w:szCs w:val="20"/>
          <w:lang w:val="en-GB"/>
        </w:rPr>
        <w:t>comments</w:t>
      </w:r>
      <w:r w:rsidR="00610082" w:rsidRPr="00365574">
        <w:rPr>
          <w:sz w:val="20"/>
          <w:szCs w:val="20"/>
          <w:lang w:val="en-GB"/>
        </w:rPr>
        <w:t xml:space="preserve"> </w:t>
      </w:r>
      <w:r w:rsidR="00610082" w:rsidRPr="00365574">
        <w:rPr>
          <w:b/>
          <w:bCs/>
          <w:sz w:val="20"/>
          <w:szCs w:val="20"/>
          <w:lang w:val="en-GB"/>
        </w:rPr>
        <w:t>Marcin Kocerba.</w:t>
      </w:r>
    </w:p>
    <w:p w14:paraId="1115F55D" w14:textId="124B8086" w:rsidR="00610082" w:rsidRPr="00365574" w:rsidRDefault="00610082" w:rsidP="00610082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365574">
        <w:rPr>
          <w:b/>
          <w:bCs/>
          <w:sz w:val="20"/>
          <w:szCs w:val="20"/>
          <w:lang w:val="en-GB"/>
        </w:rPr>
        <w:t xml:space="preserve">CEE </w:t>
      </w:r>
      <w:r w:rsidR="00B03665" w:rsidRPr="00365574">
        <w:rPr>
          <w:b/>
          <w:bCs/>
          <w:sz w:val="20"/>
          <w:szCs w:val="20"/>
          <w:lang w:val="en-GB"/>
        </w:rPr>
        <w:t>on the radar of global investors</w:t>
      </w:r>
    </w:p>
    <w:p w14:paraId="12729E0C" w14:textId="4A39407E" w:rsidR="00610082" w:rsidRPr="00365574" w:rsidRDefault="00B03665" w:rsidP="00610082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sz w:val="20"/>
          <w:szCs w:val="20"/>
          <w:lang w:val="en-GB"/>
        </w:rPr>
        <w:lastRenderedPageBreak/>
        <w:t>Central and Eastern Europe</w:t>
      </w:r>
      <w:r w:rsidR="00B718D1">
        <w:rPr>
          <w:sz w:val="20"/>
          <w:szCs w:val="20"/>
          <w:lang w:val="en-GB"/>
        </w:rPr>
        <w:t xml:space="preserve"> (CEE)</w:t>
      </w:r>
      <w:r w:rsidR="00D0554D" w:rsidRPr="00365574">
        <w:rPr>
          <w:sz w:val="20"/>
          <w:szCs w:val="20"/>
          <w:lang w:val="en-GB"/>
        </w:rPr>
        <w:t xml:space="preserve">, with Poland as the </w:t>
      </w:r>
      <w:r w:rsidR="004F21B6" w:rsidRPr="00365574">
        <w:rPr>
          <w:sz w:val="20"/>
          <w:szCs w:val="20"/>
          <w:lang w:val="en-GB"/>
        </w:rPr>
        <w:t xml:space="preserve">region’s </w:t>
      </w:r>
      <w:r w:rsidR="00D0554D" w:rsidRPr="00365574">
        <w:rPr>
          <w:sz w:val="20"/>
          <w:szCs w:val="20"/>
          <w:lang w:val="en-GB"/>
        </w:rPr>
        <w:t xml:space="preserve">largest and most liquid market, </w:t>
      </w:r>
      <w:r w:rsidR="004F21B6" w:rsidRPr="00365574">
        <w:rPr>
          <w:sz w:val="20"/>
          <w:szCs w:val="20"/>
          <w:lang w:val="en-GB"/>
        </w:rPr>
        <w:t xml:space="preserve">is </w:t>
      </w:r>
      <w:r w:rsidR="00BD5761">
        <w:rPr>
          <w:sz w:val="20"/>
          <w:szCs w:val="20"/>
          <w:lang w:val="en-GB"/>
        </w:rPr>
        <w:t xml:space="preserve">gaining prominence </w:t>
      </w:r>
      <w:r w:rsidR="00D0554D" w:rsidRPr="00365574">
        <w:rPr>
          <w:sz w:val="20"/>
          <w:szCs w:val="20"/>
          <w:lang w:val="en-GB"/>
        </w:rPr>
        <w:t xml:space="preserve">in </w:t>
      </w:r>
      <w:r w:rsidR="00666A6C" w:rsidRPr="00365574">
        <w:rPr>
          <w:sz w:val="20"/>
          <w:szCs w:val="20"/>
          <w:lang w:val="en-GB"/>
        </w:rPr>
        <w:t xml:space="preserve">institutional investors’ strategies. </w:t>
      </w:r>
      <w:r w:rsidR="00B17D7C" w:rsidRPr="00365574">
        <w:rPr>
          <w:sz w:val="20"/>
          <w:szCs w:val="20"/>
          <w:lang w:val="en-GB"/>
        </w:rPr>
        <w:t>The appeal of the region continues to grow</w:t>
      </w:r>
      <w:r w:rsidR="004F21B6" w:rsidRPr="00365574">
        <w:rPr>
          <w:sz w:val="20"/>
          <w:szCs w:val="20"/>
          <w:lang w:val="en-GB"/>
        </w:rPr>
        <w:t xml:space="preserve">, supported by </w:t>
      </w:r>
      <w:r w:rsidR="00196E59" w:rsidRPr="00365574">
        <w:rPr>
          <w:sz w:val="20"/>
          <w:szCs w:val="20"/>
          <w:lang w:val="en-GB"/>
        </w:rPr>
        <w:t xml:space="preserve">strong fundamentals, economic resilience and competitive rates of return. </w:t>
      </w:r>
      <w:r w:rsidR="00BF7B06">
        <w:rPr>
          <w:sz w:val="20"/>
          <w:szCs w:val="20"/>
          <w:lang w:val="en-GB"/>
        </w:rPr>
        <w:t>For</w:t>
      </w:r>
      <w:r w:rsidR="003C0622" w:rsidRPr="00365574">
        <w:rPr>
          <w:sz w:val="20"/>
          <w:szCs w:val="20"/>
          <w:lang w:val="en-GB"/>
        </w:rPr>
        <w:t xml:space="preserve"> many </w:t>
      </w:r>
      <w:r w:rsidR="00034ED9" w:rsidRPr="00365574">
        <w:rPr>
          <w:sz w:val="20"/>
          <w:szCs w:val="20"/>
          <w:lang w:val="en-GB"/>
        </w:rPr>
        <w:t>investment funds</w:t>
      </w:r>
      <w:r w:rsidR="00BB2F44" w:rsidRPr="00365574">
        <w:rPr>
          <w:sz w:val="20"/>
          <w:szCs w:val="20"/>
          <w:lang w:val="en-GB"/>
        </w:rPr>
        <w:t>, CEE has</w:t>
      </w:r>
      <w:r w:rsidR="00745FA5" w:rsidRPr="00365574">
        <w:rPr>
          <w:sz w:val="20"/>
          <w:szCs w:val="20"/>
          <w:lang w:val="en-GB"/>
        </w:rPr>
        <w:t xml:space="preserve"> </w:t>
      </w:r>
      <w:r w:rsidR="00034ED9" w:rsidRPr="00365574">
        <w:rPr>
          <w:sz w:val="20"/>
          <w:szCs w:val="20"/>
          <w:lang w:val="en-GB"/>
        </w:rPr>
        <w:t>moved in</w:t>
      </w:r>
      <w:r w:rsidR="00745FA5" w:rsidRPr="00365574">
        <w:rPr>
          <w:sz w:val="20"/>
          <w:szCs w:val="20"/>
          <w:lang w:val="en-GB"/>
        </w:rPr>
        <w:t>to the top three</w:t>
      </w:r>
      <w:r w:rsidR="00DB70C1" w:rsidRPr="00365574">
        <w:rPr>
          <w:sz w:val="20"/>
          <w:szCs w:val="20"/>
          <w:lang w:val="en-GB"/>
        </w:rPr>
        <w:t xml:space="preserve"> </w:t>
      </w:r>
      <w:r w:rsidR="006A5E74">
        <w:rPr>
          <w:sz w:val="20"/>
          <w:szCs w:val="20"/>
          <w:lang w:val="en-GB"/>
        </w:rPr>
        <w:t xml:space="preserve">investment </w:t>
      </w:r>
      <w:r w:rsidR="008723CA" w:rsidRPr="00365574">
        <w:rPr>
          <w:sz w:val="20"/>
          <w:szCs w:val="20"/>
          <w:lang w:val="en-GB"/>
        </w:rPr>
        <w:t>destinations</w:t>
      </w:r>
      <w:r w:rsidR="00610082" w:rsidRPr="00365574">
        <w:rPr>
          <w:sz w:val="20"/>
          <w:szCs w:val="20"/>
          <w:lang w:val="en-GB"/>
        </w:rPr>
        <w:t>.</w:t>
      </w:r>
    </w:p>
    <w:p w14:paraId="5225DABF" w14:textId="77BC1686" w:rsidR="00610082" w:rsidRPr="00365574" w:rsidRDefault="003C0622" w:rsidP="00DE3319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sz w:val="20"/>
          <w:szCs w:val="20"/>
          <w:lang w:val="en-GB"/>
        </w:rPr>
        <w:t xml:space="preserve">At the same time, regional capital – mainly from Czechia and Poland – remains the most active, </w:t>
      </w:r>
      <w:r w:rsidR="008D3F19">
        <w:rPr>
          <w:sz w:val="20"/>
          <w:szCs w:val="20"/>
          <w:lang w:val="en-GB"/>
        </w:rPr>
        <w:t>chara</w:t>
      </w:r>
      <w:r w:rsidR="00144783">
        <w:rPr>
          <w:sz w:val="20"/>
          <w:szCs w:val="20"/>
          <w:lang w:val="en-GB"/>
        </w:rPr>
        <w:t xml:space="preserve">cterised by </w:t>
      </w:r>
      <w:r w:rsidRPr="00365574">
        <w:rPr>
          <w:sz w:val="20"/>
          <w:szCs w:val="20"/>
          <w:lang w:val="en-GB"/>
        </w:rPr>
        <w:t xml:space="preserve">flexibility and </w:t>
      </w:r>
      <w:r w:rsidR="008E0132">
        <w:rPr>
          <w:sz w:val="20"/>
          <w:szCs w:val="20"/>
          <w:lang w:val="en-GB"/>
        </w:rPr>
        <w:t>rapid</w:t>
      </w:r>
      <w:r w:rsidR="001F027F" w:rsidRPr="00365574">
        <w:rPr>
          <w:sz w:val="20"/>
          <w:szCs w:val="20"/>
          <w:lang w:val="en-GB"/>
        </w:rPr>
        <w:t xml:space="preserve"> decision-making, both of which are </w:t>
      </w:r>
      <w:r w:rsidR="008723CA" w:rsidRPr="00365574">
        <w:rPr>
          <w:sz w:val="20"/>
          <w:szCs w:val="20"/>
          <w:lang w:val="en-GB"/>
        </w:rPr>
        <w:t>critical</w:t>
      </w:r>
      <w:r w:rsidR="001F027F" w:rsidRPr="00365574">
        <w:rPr>
          <w:sz w:val="20"/>
          <w:szCs w:val="20"/>
          <w:lang w:val="en-GB"/>
        </w:rPr>
        <w:t xml:space="preserve"> in the current market envi</w:t>
      </w:r>
      <w:r w:rsidR="00DB0239" w:rsidRPr="00365574">
        <w:rPr>
          <w:sz w:val="20"/>
          <w:szCs w:val="20"/>
          <w:lang w:val="en-GB"/>
        </w:rPr>
        <w:t>ronment.</w:t>
      </w:r>
    </w:p>
    <w:p w14:paraId="1145A78F" w14:textId="1EBDCA79" w:rsidR="00610082" w:rsidRPr="00365574" w:rsidRDefault="001B6240" w:rsidP="00610082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365574">
        <w:rPr>
          <w:b/>
          <w:bCs/>
          <w:sz w:val="20"/>
          <w:szCs w:val="20"/>
          <w:lang w:val="en-GB"/>
        </w:rPr>
        <w:t xml:space="preserve">Expectations for </w:t>
      </w:r>
      <w:r w:rsidR="00610082" w:rsidRPr="00365574">
        <w:rPr>
          <w:b/>
          <w:bCs/>
          <w:sz w:val="20"/>
          <w:szCs w:val="20"/>
          <w:lang w:val="en-GB"/>
        </w:rPr>
        <w:t>2026: stabili</w:t>
      </w:r>
      <w:r w:rsidRPr="00365574">
        <w:rPr>
          <w:b/>
          <w:bCs/>
          <w:sz w:val="20"/>
          <w:szCs w:val="20"/>
          <w:lang w:val="en-GB"/>
        </w:rPr>
        <w:t>sation</w:t>
      </w:r>
      <w:r w:rsidR="00610082" w:rsidRPr="00365574">
        <w:rPr>
          <w:b/>
          <w:bCs/>
          <w:sz w:val="20"/>
          <w:szCs w:val="20"/>
          <w:lang w:val="en-GB"/>
        </w:rPr>
        <w:t>, sele</w:t>
      </w:r>
      <w:r w:rsidRPr="00365574">
        <w:rPr>
          <w:b/>
          <w:bCs/>
          <w:sz w:val="20"/>
          <w:szCs w:val="20"/>
          <w:lang w:val="en-GB"/>
        </w:rPr>
        <w:t xml:space="preserve">ctivity and </w:t>
      </w:r>
      <w:r w:rsidR="00610082" w:rsidRPr="00365574">
        <w:rPr>
          <w:b/>
          <w:bCs/>
          <w:sz w:val="20"/>
          <w:szCs w:val="20"/>
          <w:lang w:val="en-GB"/>
        </w:rPr>
        <w:t>ESG</w:t>
      </w:r>
    </w:p>
    <w:p w14:paraId="3839C814" w14:textId="5D29A924" w:rsidR="00610082" w:rsidRPr="00365574" w:rsidRDefault="00B86791" w:rsidP="00610082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sz w:val="20"/>
          <w:szCs w:val="20"/>
          <w:lang w:val="en-GB"/>
        </w:rPr>
        <w:t>Looking ahead to the coming months, e</w:t>
      </w:r>
      <w:r w:rsidR="00CA023A" w:rsidRPr="00365574">
        <w:rPr>
          <w:sz w:val="20"/>
          <w:szCs w:val="20"/>
          <w:lang w:val="en-GB"/>
        </w:rPr>
        <w:t xml:space="preserve">xperts at Cushman &amp; Wakefield </w:t>
      </w:r>
      <w:r w:rsidRPr="00365574">
        <w:rPr>
          <w:sz w:val="20"/>
          <w:szCs w:val="20"/>
          <w:lang w:val="en-GB"/>
        </w:rPr>
        <w:t>expect</w:t>
      </w:r>
      <w:r w:rsidR="00206CFD" w:rsidRPr="00365574">
        <w:rPr>
          <w:sz w:val="20"/>
          <w:szCs w:val="20"/>
          <w:lang w:val="en-GB"/>
        </w:rPr>
        <w:t xml:space="preserve"> </w:t>
      </w:r>
      <w:r w:rsidR="00F07027" w:rsidRPr="00365574">
        <w:rPr>
          <w:sz w:val="20"/>
          <w:szCs w:val="20"/>
          <w:lang w:val="en-GB"/>
        </w:rPr>
        <w:t xml:space="preserve">investors to maintain a </w:t>
      </w:r>
      <w:r w:rsidR="00206CFD" w:rsidRPr="00365574">
        <w:rPr>
          <w:sz w:val="20"/>
          <w:szCs w:val="20"/>
          <w:lang w:val="en-GB"/>
        </w:rPr>
        <w:t>selective approach</w:t>
      </w:r>
      <w:r w:rsidR="00F07027" w:rsidRPr="00365574">
        <w:rPr>
          <w:sz w:val="20"/>
          <w:szCs w:val="20"/>
          <w:lang w:val="en-GB"/>
        </w:rPr>
        <w:t xml:space="preserve"> amid a</w:t>
      </w:r>
      <w:r w:rsidR="00206CFD" w:rsidRPr="00365574">
        <w:rPr>
          <w:sz w:val="20"/>
          <w:szCs w:val="20"/>
          <w:lang w:val="en-GB"/>
        </w:rPr>
        <w:t xml:space="preserve"> </w:t>
      </w:r>
      <w:r w:rsidR="00E3121B" w:rsidRPr="00365574">
        <w:rPr>
          <w:sz w:val="20"/>
          <w:szCs w:val="20"/>
          <w:lang w:val="en-GB"/>
        </w:rPr>
        <w:t xml:space="preserve">continued inflow of local capital and a gradual return of </w:t>
      </w:r>
      <w:r w:rsidR="00F07027" w:rsidRPr="00365574">
        <w:rPr>
          <w:sz w:val="20"/>
          <w:szCs w:val="20"/>
          <w:lang w:val="en-GB"/>
        </w:rPr>
        <w:t>W</w:t>
      </w:r>
      <w:r w:rsidR="00E3121B" w:rsidRPr="00365574">
        <w:rPr>
          <w:sz w:val="20"/>
          <w:szCs w:val="20"/>
          <w:lang w:val="en-GB"/>
        </w:rPr>
        <w:t xml:space="preserve">estern investment funds, </w:t>
      </w:r>
      <w:r w:rsidR="00030758" w:rsidRPr="00365574">
        <w:rPr>
          <w:sz w:val="20"/>
          <w:szCs w:val="20"/>
          <w:lang w:val="en-GB"/>
        </w:rPr>
        <w:t>particularly</w:t>
      </w:r>
      <w:r w:rsidR="00E3121B" w:rsidRPr="00365574">
        <w:rPr>
          <w:sz w:val="20"/>
          <w:szCs w:val="20"/>
          <w:lang w:val="en-GB"/>
        </w:rPr>
        <w:t xml:space="preserve"> those pursuing</w:t>
      </w:r>
      <w:r w:rsidR="00610082" w:rsidRPr="00365574">
        <w:rPr>
          <w:sz w:val="20"/>
          <w:szCs w:val="20"/>
          <w:lang w:val="en-GB"/>
        </w:rPr>
        <w:t xml:space="preserve"> core </w:t>
      </w:r>
      <w:r w:rsidR="00E3121B" w:rsidRPr="00365574">
        <w:rPr>
          <w:sz w:val="20"/>
          <w:szCs w:val="20"/>
          <w:lang w:val="en-GB"/>
        </w:rPr>
        <w:t xml:space="preserve">and </w:t>
      </w:r>
      <w:r w:rsidR="00610082" w:rsidRPr="00365574">
        <w:rPr>
          <w:sz w:val="20"/>
          <w:szCs w:val="20"/>
          <w:lang w:val="en-GB"/>
        </w:rPr>
        <w:t>core+</w:t>
      </w:r>
      <w:r w:rsidR="00E3121B" w:rsidRPr="00365574">
        <w:rPr>
          <w:sz w:val="20"/>
          <w:szCs w:val="20"/>
          <w:lang w:val="en-GB"/>
        </w:rPr>
        <w:t xml:space="preserve"> strategies</w:t>
      </w:r>
      <w:r w:rsidR="00610082" w:rsidRPr="00365574">
        <w:rPr>
          <w:sz w:val="20"/>
          <w:szCs w:val="20"/>
          <w:lang w:val="en-GB"/>
        </w:rPr>
        <w:t>.</w:t>
      </w:r>
    </w:p>
    <w:p w14:paraId="1BBD8AC6" w14:textId="7E1D2F43" w:rsidR="00610082" w:rsidRPr="00365574" w:rsidRDefault="00A14078" w:rsidP="00610082">
      <w:pPr>
        <w:spacing w:line="240" w:lineRule="auto"/>
        <w:jc w:val="both"/>
        <w:rPr>
          <w:sz w:val="20"/>
          <w:szCs w:val="20"/>
          <w:lang w:val="en-GB"/>
        </w:rPr>
      </w:pPr>
      <w:r w:rsidRPr="00365574">
        <w:rPr>
          <w:sz w:val="20"/>
          <w:szCs w:val="20"/>
          <w:lang w:val="en-GB"/>
        </w:rPr>
        <w:t>While h</w:t>
      </w:r>
      <w:r w:rsidR="00AB1E57" w:rsidRPr="00365574">
        <w:rPr>
          <w:sz w:val="20"/>
          <w:szCs w:val="20"/>
          <w:lang w:val="en-GB"/>
        </w:rPr>
        <w:t xml:space="preserve">igh interest rates in the eurozone </w:t>
      </w:r>
      <w:r w:rsidR="00F35892" w:rsidRPr="00365574">
        <w:rPr>
          <w:sz w:val="20"/>
          <w:szCs w:val="20"/>
          <w:lang w:val="en-GB"/>
        </w:rPr>
        <w:t>continue to put</w:t>
      </w:r>
      <w:r w:rsidRPr="00365574">
        <w:rPr>
          <w:sz w:val="20"/>
          <w:szCs w:val="20"/>
          <w:lang w:val="en-GB"/>
        </w:rPr>
        <w:t xml:space="preserve"> pressure on </w:t>
      </w:r>
      <w:r w:rsidR="0077567E" w:rsidRPr="00655A2B">
        <w:rPr>
          <w:sz w:val="20"/>
          <w:szCs w:val="20"/>
          <w:lang w:val="en-GB"/>
        </w:rPr>
        <w:t>yields</w:t>
      </w:r>
      <w:r w:rsidRPr="00655A2B">
        <w:rPr>
          <w:sz w:val="20"/>
          <w:szCs w:val="20"/>
          <w:lang w:val="en-GB"/>
        </w:rPr>
        <w:t>, they</w:t>
      </w:r>
      <w:r w:rsidRPr="00365574">
        <w:rPr>
          <w:sz w:val="20"/>
          <w:szCs w:val="20"/>
          <w:lang w:val="en-GB"/>
        </w:rPr>
        <w:t xml:space="preserve"> are also </w:t>
      </w:r>
      <w:r w:rsidR="00F35892" w:rsidRPr="00365574">
        <w:rPr>
          <w:sz w:val="20"/>
          <w:szCs w:val="20"/>
          <w:lang w:val="en-GB"/>
        </w:rPr>
        <w:t>encouraging</w:t>
      </w:r>
      <w:r w:rsidR="008B0B40" w:rsidRPr="00365574">
        <w:rPr>
          <w:sz w:val="20"/>
          <w:szCs w:val="20"/>
          <w:lang w:val="en-GB"/>
        </w:rPr>
        <w:t xml:space="preserve"> investors to look for stable, diversified markets such as Poland. </w:t>
      </w:r>
      <w:r w:rsidR="002437FF" w:rsidRPr="00365574">
        <w:rPr>
          <w:sz w:val="20"/>
          <w:szCs w:val="20"/>
          <w:lang w:val="en-GB"/>
        </w:rPr>
        <w:t>A</w:t>
      </w:r>
      <w:r w:rsidR="005E4058">
        <w:rPr>
          <w:sz w:val="20"/>
          <w:szCs w:val="20"/>
          <w:lang w:val="en-GB"/>
        </w:rPr>
        <w:t>t</w:t>
      </w:r>
      <w:r w:rsidR="002437FF" w:rsidRPr="00365574">
        <w:rPr>
          <w:sz w:val="20"/>
          <w:szCs w:val="20"/>
          <w:lang w:val="en-GB"/>
        </w:rPr>
        <w:t xml:space="preserve"> the same time, sustainability </w:t>
      </w:r>
      <w:r w:rsidR="00F35892" w:rsidRPr="00365574">
        <w:rPr>
          <w:sz w:val="20"/>
          <w:szCs w:val="20"/>
          <w:lang w:val="en-GB"/>
        </w:rPr>
        <w:t>considerations</w:t>
      </w:r>
      <w:r w:rsidR="002437FF" w:rsidRPr="00365574">
        <w:rPr>
          <w:sz w:val="20"/>
          <w:szCs w:val="20"/>
          <w:lang w:val="en-GB"/>
        </w:rPr>
        <w:t xml:space="preserve"> are </w:t>
      </w:r>
      <w:r w:rsidR="00545BA8" w:rsidRPr="00365574">
        <w:rPr>
          <w:sz w:val="20"/>
          <w:szCs w:val="20"/>
          <w:lang w:val="en-GB"/>
        </w:rPr>
        <w:t>gaining</w:t>
      </w:r>
      <w:r w:rsidR="002437FF" w:rsidRPr="00365574">
        <w:rPr>
          <w:sz w:val="20"/>
          <w:szCs w:val="20"/>
          <w:lang w:val="en-GB"/>
        </w:rPr>
        <w:t xml:space="preserve"> importance, </w:t>
      </w:r>
      <w:r w:rsidR="00530E01" w:rsidRPr="00365574">
        <w:rPr>
          <w:sz w:val="20"/>
          <w:szCs w:val="20"/>
          <w:lang w:val="en-GB"/>
        </w:rPr>
        <w:t xml:space="preserve">both in </w:t>
      </w:r>
      <w:r w:rsidR="00545BA8" w:rsidRPr="00365574">
        <w:rPr>
          <w:sz w:val="20"/>
          <w:szCs w:val="20"/>
          <w:lang w:val="en-GB"/>
        </w:rPr>
        <w:t xml:space="preserve">terms of access to </w:t>
      </w:r>
      <w:r w:rsidR="00530E01" w:rsidRPr="00365574">
        <w:rPr>
          <w:sz w:val="20"/>
          <w:szCs w:val="20"/>
          <w:lang w:val="en-GB"/>
        </w:rPr>
        <w:t xml:space="preserve">financing and </w:t>
      </w:r>
      <w:r w:rsidR="00AF224A" w:rsidRPr="00365574">
        <w:rPr>
          <w:sz w:val="20"/>
          <w:szCs w:val="20"/>
          <w:lang w:val="en-GB"/>
        </w:rPr>
        <w:t xml:space="preserve">buyer-side </w:t>
      </w:r>
      <w:r w:rsidR="00530E01" w:rsidRPr="00365574">
        <w:rPr>
          <w:sz w:val="20"/>
          <w:szCs w:val="20"/>
          <w:lang w:val="en-GB"/>
        </w:rPr>
        <w:t>due diligence</w:t>
      </w:r>
      <w:r w:rsidR="00610082" w:rsidRPr="00365574">
        <w:rPr>
          <w:sz w:val="20"/>
          <w:szCs w:val="20"/>
          <w:lang w:val="en-GB"/>
        </w:rPr>
        <w:t>.</w:t>
      </w:r>
    </w:p>
    <w:p w14:paraId="518189CC" w14:textId="4A3E3BAD" w:rsidR="00610082" w:rsidRPr="00365574" w:rsidRDefault="008D1834" w:rsidP="00610082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365574">
        <w:rPr>
          <w:i/>
          <w:iCs/>
          <w:sz w:val="20"/>
          <w:szCs w:val="20"/>
          <w:lang w:val="en-GB"/>
        </w:rPr>
        <w:t>“Despite lower investment volume</w:t>
      </w:r>
      <w:r w:rsidR="00516F48" w:rsidRPr="00365574">
        <w:rPr>
          <w:i/>
          <w:iCs/>
          <w:sz w:val="20"/>
          <w:szCs w:val="20"/>
          <w:lang w:val="en-GB"/>
        </w:rPr>
        <w:t>s</w:t>
      </w:r>
      <w:r w:rsidRPr="00365574">
        <w:rPr>
          <w:i/>
          <w:iCs/>
          <w:sz w:val="20"/>
          <w:szCs w:val="20"/>
          <w:lang w:val="en-GB"/>
        </w:rPr>
        <w:t>, the market is</w:t>
      </w:r>
      <w:r w:rsidR="00FE3354" w:rsidRPr="00365574">
        <w:rPr>
          <w:i/>
          <w:iCs/>
          <w:sz w:val="20"/>
          <w:szCs w:val="20"/>
          <w:lang w:val="en-GB"/>
        </w:rPr>
        <w:t xml:space="preserve"> sending clear signals of stabili</w:t>
      </w:r>
      <w:r w:rsidR="00020E3E" w:rsidRPr="00365574">
        <w:rPr>
          <w:i/>
          <w:iCs/>
          <w:sz w:val="20"/>
          <w:szCs w:val="20"/>
          <w:lang w:val="en-GB"/>
        </w:rPr>
        <w:t>s</w:t>
      </w:r>
      <w:r w:rsidR="00FE3354" w:rsidRPr="00365574">
        <w:rPr>
          <w:i/>
          <w:iCs/>
          <w:sz w:val="20"/>
          <w:szCs w:val="20"/>
          <w:lang w:val="en-GB"/>
        </w:rPr>
        <w:t xml:space="preserve">ation: </w:t>
      </w:r>
      <w:r w:rsidR="00B16C00">
        <w:rPr>
          <w:i/>
          <w:iCs/>
          <w:sz w:val="20"/>
          <w:szCs w:val="20"/>
          <w:lang w:val="en-GB"/>
        </w:rPr>
        <w:t xml:space="preserve">greater owner </w:t>
      </w:r>
      <w:r w:rsidR="00F51B46" w:rsidRPr="00365574">
        <w:rPr>
          <w:i/>
          <w:iCs/>
          <w:sz w:val="20"/>
          <w:szCs w:val="20"/>
          <w:lang w:val="en-GB"/>
        </w:rPr>
        <w:t>flexibility, improved financing availability, diverse inve</w:t>
      </w:r>
      <w:r w:rsidR="00DC2224" w:rsidRPr="00365574">
        <w:rPr>
          <w:i/>
          <w:iCs/>
          <w:sz w:val="20"/>
          <w:szCs w:val="20"/>
          <w:lang w:val="en-GB"/>
        </w:rPr>
        <w:t xml:space="preserve">stor strategies – from core+ to opportunistic – and the growing significance of sustainable assets. All of this </w:t>
      </w:r>
      <w:r w:rsidR="00020E3E" w:rsidRPr="00365574">
        <w:rPr>
          <w:i/>
          <w:iCs/>
          <w:sz w:val="20"/>
          <w:szCs w:val="20"/>
          <w:lang w:val="en-GB"/>
        </w:rPr>
        <w:t>indicates</w:t>
      </w:r>
      <w:r w:rsidR="00DC2224" w:rsidRPr="00365574">
        <w:rPr>
          <w:i/>
          <w:iCs/>
          <w:sz w:val="20"/>
          <w:szCs w:val="20"/>
          <w:lang w:val="en-GB"/>
        </w:rPr>
        <w:t xml:space="preserve"> that </w:t>
      </w:r>
      <w:r w:rsidR="00020E3E" w:rsidRPr="00365574">
        <w:rPr>
          <w:i/>
          <w:iCs/>
          <w:sz w:val="20"/>
          <w:szCs w:val="20"/>
          <w:lang w:val="en-GB"/>
        </w:rPr>
        <w:t xml:space="preserve">the </w:t>
      </w:r>
      <w:r w:rsidR="00CF0E6C" w:rsidRPr="00365574">
        <w:rPr>
          <w:i/>
          <w:iCs/>
          <w:sz w:val="20"/>
          <w:szCs w:val="20"/>
          <w:lang w:val="en-GB"/>
        </w:rPr>
        <w:t xml:space="preserve">foundations for a </w:t>
      </w:r>
      <w:r w:rsidR="00020E3E" w:rsidRPr="00365574">
        <w:rPr>
          <w:i/>
          <w:iCs/>
          <w:sz w:val="20"/>
          <w:szCs w:val="20"/>
          <w:lang w:val="en-GB"/>
        </w:rPr>
        <w:t xml:space="preserve">market </w:t>
      </w:r>
      <w:r w:rsidR="00CF0E6C" w:rsidRPr="00365574">
        <w:rPr>
          <w:i/>
          <w:iCs/>
          <w:sz w:val="20"/>
          <w:szCs w:val="20"/>
          <w:lang w:val="en-GB"/>
        </w:rPr>
        <w:t>rebound in 2026 have already been laid</w:t>
      </w:r>
      <w:r w:rsidR="0073156D" w:rsidRPr="00365574">
        <w:rPr>
          <w:i/>
          <w:iCs/>
          <w:sz w:val="20"/>
          <w:szCs w:val="20"/>
          <w:lang w:val="en-GB"/>
        </w:rPr>
        <w:t>,”</w:t>
      </w:r>
      <w:r w:rsidR="00610082" w:rsidRPr="00365574">
        <w:rPr>
          <w:sz w:val="20"/>
          <w:szCs w:val="20"/>
          <w:lang w:val="en-GB"/>
        </w:rPr>
        <w:t xml:space="preserve"> </w:t>
      </w:r>
      <w:r w:rsidR="0073156D" w:rsidRPr="00365574">
        <w:rPr>
          <w:sz w:val="20"/>
          <w:szCs w:val="20"/>
          <w:lang w:val="en-GB"/>
        </w:rPr>
        <w:t>concludes</w:t>
      </w:r>
      <w:r w:rsidR="00610082" w:rsidRPr="00365574">
        <w:rPr>
          <w:sz w:val="20"/>
          <w:szCs w:val="20"/>
          <w:lang w:val="en-GB"/>
        </w:rPr>
        <w:t xml:space="preserve"> </w:t>
      </w:r>
      <w:r w:rsidR="00094FE7" w:rsidRPr="00365574">
        <w:rPr>
          <w:b/>
          <w:bCs/>
          <w:sz w:val="20"/>
          <w:szCs w:val="20"/>
          <w:lang w:val="en-GB"/>
        </w:rPr>
        <w:t>Marcin Kocerba</w:t>
      </w:r>
      <w:r w:rsidR="00610082" w:rsidRPr="00365574">
        <w:rPr>
          <w:b/>
          <w:bCs/>
          <w:sz w:val="20"/>
          <w:szCs w:val="20"/>
          <w:lang w:val="en-GB"/>
        </w:rPr>
        <w:t>.</w:t>
      </w:r>
    </w:p>
    <w:p w14:paraId="64A83442" w14:textId="2B2E1C5C" w:rsidR="00BC2537" w:rsidRPr="00365574" w:rsidRDefault="00BC2537" w:rsidP="00610082">
      <w:pPr>
        <w:spacing w:line="240" w:lineRule="auto"/>
        <w:jc w:val="both"/>
        <w:rPr>
          <w:sz w:val="20"/>
          <w:szCs w:val="20"/>
          <w:lang w:val="en-GB"/>
        </w:rPr>
      </w:pPr>
    </w:p>
    <w:sectPr w:rsidR="00BC2537" w:rsidRPr="00365574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F3FB" w14:textId="77777777" w:rsidR="00FF1F02" w:rsidRDefault="00FF1F02">
      <w:pPr>
        <w:spacing w:after="0" w:line="240" w:lineRule="auto"/>
      </w:pPr>
      <w:r>
        <w:separator/>
      </w:r>
    </w:p>
  </w:endnote>
  <w:endnote w:type="continuationSeparator" w:id="0">
    <w:p w14:paraId="4B1F13E5" w14:textId="77777777" w:rsidR="00FF1F02" w:rsidRDefault="00FF1F02">
      <w:pPr>
        <w:spacing w:after="0" w:line="240" w:lineRule="auto"/>
      </w:pPr>
      <w:r>
        <w:continuationSeparator/>
      </w:r>
    </w:p>
  </w:endnote>
  <w:endnote w:type="continuationNotice" w:id="1">
    <w:p w14:paraId="135EC155" w14:textId="77777777" w:rsidR="00FF1F02" w:rsidRDefault="00FF1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49B7FC68" w:rsidR="00025C81" w:rsidRPr="00C8277A" w:rsidRDefault="007248B2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7248B2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5A66DC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4244"/>
            <w:gridCol w:w="4102"/>
            <w:gridCol w:w="236"/>
          </w:tblGrid>
          <w:tr w:rsidR="003E5A4E" w:rsidRPr="005A66DC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ela-Siatka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5A66DC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523F10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523F10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Karolina </w:t>
                      </w:r>
                      <w:proofErr w:type="spellStart"/>
                      <w:r w:rsidRPr="00523F10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523F10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523F10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3E5A4E" w:rsidRPr="00523F10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523F10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Tel: + 48 22 820 20 20; 691 060 202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ipercze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523F10" w:rsidRDefault="003E5A4E" w:rsidP="003E5A4E">
                      <w:pPr>
                        <w:pStyle w:val="ContactDetail"/>
                        <w:spacing w:line="240" w:lineRule="auto"/>
                        <w:rPr>
                          <w:lang w:val="de-DE"/>
                        </w:rPr>
                      </w:pPr>
                      <w:proofErr w:type="spellStart"/>
                      <w:r w:rsidRPr="00523F10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523F10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r w:rsidRPr="00523F10">
                        <w:rPr>
                          <w:rStyle w:val="Hyperlink0"/>
                          <w:color w:val="008B98"/>
                          <w:lang w:val="de-DE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523F10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523F10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523F10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523F10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5A66DC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65D1" w14:textId="77777777" w:rsidR="00FF1F02" w:rsidRDefault="00FF1F02">
      <w:pPr>
        <w:spacing w:after="0" w:line="240" w:lineRule="auto"/>
      </w:pPr>
      <w:r>
        <w:separator/>
      </w:r>
    </w:p>
  </w:footnote>
  <w:footnote w:type="continuationSeparator" w:id="0">
    <w:p w14:paraId="6DF12C64" w14:textId="77777777" w:rsidR="00FF1F02" w:rsidRDefault="00FF1F02">
      <w:pPr>
        <w:spacing w:after="0" w:line="240" w:lineRule="auto"/>
      </w:pPr>
      <w:r>
        <w:continuationSeparator/>
      </w:r>
    </w:p>
  </w:footnote>
  <w:footnote w:type="continuationNotice" w:id="1">
    <w:p w14:paraId="4EDED2E9" w14:textId="77777777" w:rsidR="00FF1F02" w:rsidRDefault="00FF1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571"/>
    <w:rsid w:val="00001D62"/>
    <w:rsid w:val="00001DF4"/>
    <w:rsid w:val="00005FD5"/>
    <w:rsid w:val="000060A2"/>
    <w:rsid w:val="00007243"/>
    <w:rsid w:val="00013F59"/>
    <w:rsid w:val="00017267"/>
    <w:rsid w:val="000203A2"/>
    <w:rsid w:val="00020AC7"/>
    <w:rsid w:val="00020E3E"/>
    <w:rsid w:val="000251E4"/>
    <w:rsid w:val="00025C81"/>
    <w:rsid w:val="00027F57"/>
    <w:rsid w:val="00030758"/>
    <w:rsid w:val="0003245E"/>
    <w:rsid w:val="00034ED9"/>
    <w:rsid w:val="00040A78"/>
    <w:rsid w:val="000441CD"/>
    <w:rsid w:val="00044C5B"/>
    <w:rsid w:val="00051B59"/>
    <w:rsid w:val="00053298"/>
    <w:rsid w:val="00053F05"/>
    <w:rsid w:val="00063FC7"/>
    <w:rsid w:val="0006485F"/>
    <w:rsid w:val="00064A4E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4FE7"/>
    <w:rsid w:val="00096548"/>
    <w:rsid w:val="000976E9"/>
    <w:rsid w:val="000A52F1"/>
    <w:rsid w:val="000A54A7"/>
    <w:rsid w:val="000A622E"/>
    <w:rsid w:val="000B142D"/>
    <w:rsid w:val="000B29DE"/>
    <w:rsid w:val="000B4E80"/>
    <w:rsid w:val="000B57CB"/>
    <w:rsid w:val="000B663F"/>
    <w:rsid w:val="000C30AD"/>
    <w:rsid w:val="000C4210"/>
    <w:rsid w:val="000C4294"/>
    <w:rsid w:val="000C585C"/>
    <w:rsid w:val="000D4656"/>
    <w:rsid w:val="000D5790"/>
    <w:rsid w:val="000D580D"/>
    <w:rsid w:val="000D5FED"/>
    <w:rsid w:val="000D685D"/>
    <w:rsid w:val="000D68FD"/>
    <w:rsid w:val="000D7839"/>
    <w:rsid w:val="000E7393"/>
    <w:rsid w:val="000F64E0"/>
    <w:rsid w:val="000F6702"/>
    <w:rsid w:val="000F7964"/>
    <w:rsid w:val="001013AF"/>
    <w:rsid w:val="001062D1"/>
    <w:rsid w:val="0011087F"/>
    <w:rsid w:val="00111135"/>
    <w:rsid w:val="001129FD"/>
    <w:rsid w:val="001135E5"/>
    <w:rsid w:val="001141D8"/>
    <w:rsid w:val="001146DD"/>
    <w:rsid w:val="00114AF8"/>
    <w:rsid w:val="0011502E"/>
    <w:rsid w:val="0011559A"/>
    <w:rsid w:val="0012061A"/>
    <w:rsid w:val="00122668"/>
    <w:rsid w:val="001231BC"/>
    <w:rsid w:val="00132CB9"/>
    <w:rsid w:val="00132F07"/>
    <w:rsid w:val="0013375B"/>
    <w:rsid w:val="00135A21"/>
    <w:rsid w:val="00140D17"/>
    <w:rsid w:val="00140D8B"/>
    <w:rsid w:val="00144783"/>
    <w:rsid w:val="00150568"/>
    <w:rsid w:val="00150F3F"/>
    <w:rsid w:val="00152129"/>
    <w:rsid w:val="00153748"/>
    <w:rsid w:val="00156F9C"/>
    <w:rsid w:val="00160B7F"/>
    <w:rsid w:val="00160C7A"/>
    <w:rsid w:val="001635F6"/>
    <w:rsid w:val="00163BA4"/>
    <w:rsid w:val="001644DF"/>
    <w:rsid w:val="00165323"/>
    <w:rsid w:val="00165A96"/>
    <w:rsid w:val="00166861"/>
    <w:rsid w:val="00166F71"/>
    <w:rsid w:val="00167436"/>
    <w:rsid w:val="001674EE"/>
    <w:rsid w:val="001745E4"/>
    <w:rsid w:val="00174EBA"/>
    <w:rsid w:val="0017521E"/>
    <w:rsid w:val="00175FB4"/>
    <w:rsid w:val="001767FC"/>
    <w:rsid w:val="00181835"/>
    <w:rsid w:val="00182C4F"/>
    <w:rsid w:val="00185967"/>
    <w:rsid w:val="00186566"/>
    <w:rsid w:val="001866B5"/>
    <w:rsid w:val="0018688B"/>
    <w:rsid w:val="00186AEB"/>
    <w:rsid w:val="00190FB3"/>
    <w:rsid w:val="001945FB"/>
    <w:rsid w:val="00196E59"/>
    <w:rsid w:val="001A1300"/>
    <w:rsid w:val="001A4929"/>
    <w:rsid w:val="001A56D9"/>
    <w:rsid w:val="001A6367"/>
    <w:rsid w:val="001A7372"/>
    <w:rsid w:val="001B539B"/>
    <w:rsid w:val="001B5F5F"/>
    <w:rsid w:val="001B5FA0"/>
    <w:rsid w:val="001B6240"/>
    <w:rsid w:val="001B63B5"/>
    <w:rsid w:val="001B7AE3"/>
    <w:rsid w:val="001C0591"/>
    <w:rsid w:val="001C7005"/>
    <w:rsid w:val="001C70E4"/>
    <w:rsid w:val="001C7268"/>
    <w:rsid w:val="001D08F3"/>
    <w:rsid w:val="001D401E"/>
    <w:rsid w:val="001D5EF0"/>
    <w:rsid w:val="001D617A"/>
    <w:rsid w:val="001E06FB"/>
    <w:rsid w:val="001E07D4"/>
    <w:rsid w:val="001E0C63"/>
    <w:rsid w:val="001E0E42"/>
    <w:rsid w:val="001E16E8"/>
    <w:rsid w:val="001E3C79"/>
    <w:rsid w:val="001E4E45"/>
    <w:rsid w:val="001E56EB"/>
    <w:rsid w:val="001E6096"/>
    <w:rsid w:val="001F027F"/>
    <w:rsid w:val="001F1B34"/>
    <w:rsid w:val="001F37BD"/>
    <w:rsid w:val="001F406E"/>
    <w:rsid w:val="001F7E37"/>
    <w:rsid w:val="00206001"/>
    <w:rsid w:val="00206CFD"/>
    <w:rsid w:val="002117B9"/>
    <w:rsid w:val="002125FE"/>
    <w:rsid w:val="0021678E"/>
    <w:rsid w:val="00217BD6"/>
    <w:rsid w:val="002238C4"/>
    <w:rsid w:val="002240B1"/>
    <w:rsid w:val="00224A98"/>
    <w:rsid w:val="00224AA7"/>
    <w:rsid w:val="00227EAC"/>
    <w:rsid w:val="00231BCD"/>
    <w:rsid w:val="00236B04"/>
    <w:rsid w:val="002426EF"/>
    <w:rsid w:val="002437FF"/>
    <w:rsid w:val="0024400C"/>
    <w:rsid w:val="00246115"/>
    <w:rsid w:val="00250183"/>
    <w:rsid w:val="00251824"/>
    <w:rsid w:val="00251DDB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45A6"/>
    <w:rsid w:val="00275982"/>
    <w:rsid w:val="002759E9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213C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E6780"/>
    <w:rsid w:val="002F0186"/>
    <w:rsid w:val="002F0666"/>
    <w:rsid w:val="002F08E1"/>
    <w:rsid w:val="002F0F48"/>
    <w:rsid w:val="00300BC4"/>
    <w:rsid w:val="00302886"/>
    <w:rsid w:val="0030311F"/>
    <w:rsid w:val="003067E9"/>
    <w:rsid w:val="00306BFA"/>
    <w:rsid w:val="00307E44"/>
    <w:rsid w:val="00310AEF"/>
    <w:rsid w:val="00310D2A"/>
    <w:rsid w:val="003156DD"/>
    <w:rsid w:val="0032157F"/>
    <w:rsid w:val="003228DC"/>
    <w:rsid w:val="0032389F"/>
    <w:rsid w:val="0033046E"/>
    <w:rsid w:val="00342C1B"/>
    <w:rsid w:val="0034418D"/>
    <w:rsid w:val="00345D04"/>
    <w:rsid w:val="00345D09"/>
    <w:rsid w:val="0035396B"/>
    <w:rsid w:val="00356977"/>
    <w:rsid w:val="00361E86"/>
    <w:rsid w:val="00362CD6"/>
    <w:rsid w:val="00364117"/>
    <w:rsid w:val="00365574"/>
    <w:rsid w:val="00371AFD"/>
    <w:rsid w:val="0037472D"/>
    <w:rsid w:val="00374DB8"/>
    <w:rsid w:val="00375278"/>
    <w:rsid w:val="00383926"/>
    <w:rsid w:val="00385CB8"/>
    <w:rsid w:val="0038604F"/>
    <w:rsid w:val="00387CAF"/>
    <w:rsid w:val="003936DF"/>
    <w:rsid w:val="00396684"/>
    <w:rsid w:val="003A24D4"/>
    <w:rsid w:val="003A3B4D"/>
    <w:rsid w:val="003A693E"/>
    <w:rsid w:val="003A70E2"/>
    <w:rsid w:val="003B3560"/>
    <w:rsid w:val="003B78C7"/>
    <w:rsid w:val="003C0622"/>
    <w:rsid w:val="003C1BBA"/>
    <w:rsid w:val="003C1E58"/>
    <w:rsid w:val="003C4DFD"/>
    <w:rsid w:val="003C5B29"/>
    <w:rsid w:val="003C791A"/>
    <w:rsid w:val="003D1A23"/>
    <w:rsid w:val="003E003A"/>
    <w:rsid w:val="003E0201"/>
    <w:rsid w:val="003E15CA"/>
    <w:rsid w:val="003E3F99"/>
    <w:rsid w:val="003E5A4E"/>
    <w:rsid w:val="003E7208"/>
    <w:rsid w:val="003F2CFD"/>
    <w:rsid w:val="003F4955"/>
    <w:rsid w:val="003F4AAD"/>
    <w:rsid w:val="003F60EA"/>
    <w:rsid w:val="003F682E"/>
    <w:rsid w:val="004001BC"/>
    <w:rsid w:val="00403626"/>
    <w:rsid w:val="00410D62"/>
    <w:rsid w:val="004112C0"/>
    <w:rsid w:val="004139FE"/>
    <w:rsid w:val="00416D62"/>
    <w:rsid w:val="0042183C"/>
    <w:rsid w:val="00421DC1"/>
    <w:rsid w:val="00422760"/>
    <w:rsid w:val="0042354B"/>
    <w:rsid w:val="004274A1"/>
    <w:rsid w:val="004329C4"/>
    <w:rsid w:val="00432ACA"/>
    <w:rsid w:val="00435D4F"/>
    <w:rsid w:val="00436CE4"/>
    <w:rsid w:val="0043767F"/>
    <w:rsid w:val="00440D65"/>
    <w:rsid w:val="00440EDE"/>
    <w:rsid w:val="0044178E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04D3"/>
    <w:rsid w:val="00471A22"/>
    <w:rsid w:val="004774A1"/>
    <w:rsid w:val="00486BDD"/>
    <w:rsid w:val="00487639"/>
    <w:rsid w:val="00487836"/>
    <w:rsid w:val="004900F3"/>
    <w:rsid w:val="00490581"/>
    <w:rsid w:val="00491EA1"/>
    <w:rsid w:val="00492C78"/>
    <w:rsid w:val="0049367E"/>
    <w:rsid w:val="004939D4"/>
    <w:rsid w:val="00496422"/>
    <w:rsid w:val="004972E1"/>
    <w:rsid w:val="00497908"/>
    <w:rsid w:val="004A01E8"/>
    <w:rsid w:val="004A05C3"/>
    <w:rsid w:val="004A5B66"/>
    <w:rsid w:val="004B083C"/>
    <w:rsid w:val="004B0979"/>
    <w:rsid w:val="004B3D1A"/>
    <w:rsid w:val="004B5A43"/>
    <w:rsid w:val="004C2C37"/>
    <w:rsid w:val="004C49CA"/>
    <w:rsid w:val="004C58B7"/>
    <w:rsid w:val="004D07CC"/>
    <w:rsid w:val="004D080E"/>
    <w:rsid w:val="004D16D5"/>
    <w:rsid w:val="004D25BB"/>
    <w:rsid w:val="004D279C"/>
    <w:rsid w:val="004D68AD"/>
    <w:rsid w:val="004D6A3C"/>
    <w:rsid w:val="004D7C3B"/>
    <w:rsid w:val="004E0237"/>
    <w:rsid w:val="004E30B9"/>
    <w:rsid w:val="004E46E9"/>
    <w:rsid w:val="004E5A7E"/>
    <w:rsid w:val="004E6B20"/>
    <w:rsid w:val="004E7185"/>
    <w:rsid w:val="004F21B6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6F48"/>
    <w:rsid w:val="00517B59"/>
    <w:rsid w:val="00520076"/>
    <w:rsid w:val="005229AB"/>
    <w:rsid w:val="00523F10"/>
    <w:rsid w:val="00526757"/>
    <w:rsid w:val="00530E01"/>
    <w:rsid w:val="00531CF4"/>
    <w:rsid w:val="00531D93"/>
    <w:rsid w:val="005323BE"/>
    <w:rsid w:val="005352C0"/>
    <w:rsid w:val="005369D7"/>
    <w:rsid w:val="00537747"/>
    <w:rsid w:val="00541459"/>
    <w:rsid w:val="00541D5B"/>
    <w:rsid w:val="00545BA8"/>
    <w:rsid w:val="0055030A"/>
    <w:rsid w:val="00552477"/>
    <w:rsid w:val="0055374F"/>
    <w:rsid w:val="00553B06"/>
    <w:rsid w:val="0055434C"/>
    <w:rsid w:val="00561829"/>
    <w:rsid w:val="005631C3"/>
    <w:rsid w:val="00566AB7"/>
    <w:rsid w:val="00571934"/>
    <w:rsid w:val="00577005"/>
    <w:rsid w:val="00580A25"/>
    <w:rsid w:val="0058421C"/>
    <w:rsid w:val="00584862"/>
    <w:rsid w:val="00585A4F"/>
    <w:rsid w:val="005864F4"/>
    <w:rsid w:val="00587724"/>
    <w:rsid w:val="005878DD"/>
    <w:rsid w:val="00591A28"/>
    <w:rsid w:val="00591DBB"/>
    <w:rsid w:val="00592299"/>
    <w:rsid w:val="00593E4C"/>
    <w:rsid w:val="005972FE"/>
    <w:rsid w:val="005A0096"/>
    <w:rsid w:val="005A4560"/>
    <w:rsid w:val="005A66DC"/>
    <w:rsid w:val="005A703D"/>
    <w:rsid w:val="005B2303"/>
    <w:rsid w:val="005B4D77"/>
    <w:rsid w:val="005B5063"/>
    <w:rsid w:val="005C01D2"/>
    <w:rsid w:val="005C0520"/>
    <w:rsid w:val="005C2765"/>
    <w:rsid w:val="005C3C3C"/>
    <w:rsid w:val="005C4360"/>
    <w:rsid w:val="005C6332"/>
    <w:rsid w:val="005C72CD"/>
    <w:rsid w:val="005D033F"/>
    <w:rsid w:val="005D05E5"/>
    <w:rsid w:val="005D06CC"/>
    <w:rsid w:val="005D15C7"/>
    <w:rsid w:val="005D1698"/>
    <w:rsid w:val="005D3204"/>
    <w:rsid w:val="005D3C92"/>
    <w:rsid w:val="005D4DD1"/>
    <w:rsid w:val="005D5EEB"/>
    <w:rsid w:val="005E0A93"/>
    <w:rsid w:val="005E14FE"/>
    <w:rsid w:val="005E2972"/>
    <w:rsid w:val="005E2C9B"/>
    <w:rsid w:val="005E2EC7"/>
    <w:rsid w:val="005E36C1"/>
    <w:rsid w:val="005E4058"/>
    <w:rsid w:val="005E49BA"/>
    <w:rsid w:val="005F36A2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0082"/>
    <w:rsid w:val="00612A79"/>
    <w:rsid w:val="006151F1"/>
    <w:rsid w:val="00617929"/>
    <w:rsid w:val="00620AD0"/>
    <w:rsid w:val="00624E73"/>
    <w:rsid w:val="00624EAB"/>
    <w:rsid w:val="00625117"/>
    <w:rsid w:val="00625DBC"/>
    <w:rsid w:val="00626706"/>
    <w:rsid w:val="00632797"/>
    <w:rsid w:val="00634853"/>
    <w:rsid w:val="00634A82"/>
    <w:rsid w:val="00635D7A"/>
    <w:rsid w:val="006367C0"/>
    <w:rsid w:val="006371A3"/>
    <w:rsid w:val="00640038"/>
    <w:rsid w:val="00647BF0"/>
    <w:rsid w:val="00653D04"/>
    <w:rsid w:val="00654588"/>
    <w:rsid w:val="00655594"/>
    <w:rsid w:val="00655A2B"/>
    <w:rsid w:val="006606A4"/>
    <w:rsid w:val="00661892"/>
    <w:rsid w:val="00662194"/>
    <w:rsid w:val="00666A6C"/>
    <w:rsid w:val="00670CB1"/>
    <w:rsid w:val="006714A0"/>
    <w:rsid w:val="00674476"/>
    <w:rsid w:val="00674AAF"/>
    <w:rsid w:val="00675B1B"/>
    <w:rsid w:val="0067607F"/>
    <w:rsid w:val="00676490"/>
    <w:rsid w:val="00680170"/>
    <w:rsid w:val="006807CC"/>
    <w:rsid w:val="00681862"/>
    <w:rsid w:val="00682152"/>
    <w:rsid w:val="00682F1F"/>
    <w:rsid w:val="00683345"/>
    <w:rsid w:val="006849A6"/>
    <w:rsid w:val="0068616F"/>
    <w:rsid w:val="00686CF4"/>
    <w:rsid w:val="0069258A"/>
    <w:rsid w:val="00695E5E"/>
    <w:rsid w:val="00697D3A"/>
    <w:rsid w:val="006A27D3"/>
    <w:rsid w:val="006A32B9"/>
    <w:rsid w:val="006A5E74"/>
    <w:rsid w:val="006B114D"/>
    <w:rsid w:val="006B2A82"/>
    <w:rsid w:val="006B3391"/>
    <w:rsid w:val="006B5F8A"/>
    <w:rsid w:val="006B6109"/>
    <w:rsid w:val="006B635B"/>
    <w:rsid w:val="006B6EBE"/>
    <w:rsid w:val="006C3D4A"/>
    <w:rsid w:val="006C449A"/>
    <w:rsid w:val="006C62BD"/>
    <w:rsid w:val="006C6343"/>
    <w:rsid w:val="006C7EF7"/>
    <w:rsid w:val="006D0285"/>
    <w:rsid w:val="006D1058"/>
    <w:rsid w:val="006D189F"/>
    <w:rsid w:val="006D1EF1"/>
    <w:rsid w:val="006D4677"/>
    <w:rsid w:val="006D48DF"/>
    <w:rsid w:val="006D68E0"/>
    <w:rsid w:val="006E00D9"/>
    <w:rsid w:val="006E2861"/>
    <w:rsid w:val="006E2DCD"/>
    <w:rsid w:val="006E5816"/>
    <w:rsid w:val="006F06A0"/>
    <w:rsid w:val="006F3FAF"/>
    <w:rsid w:val="006F5276"/>
    <w:rsid w:val="006F5E45"/>
    <w:rsid w:val="007014E6"/>
    <w:rsid w:val="00703171"/>
    <w:rsid w:val="00706617"/>
    <w:rsid w:val="00710F25"/>
    <w:rsid w:val="00712ED4"/>
    <w:rsid w:val="007135ED"/>
    <w:rsid w:val="00717324"/>
    <w:rsid w:val="007248B2"/>
    <w:rsid w:val="00725E13"/>
    <w:rsid w:val="00726C32"/>
    <w:rsid w:val="0073156D"/>
    <w:rsid w:val="007326D4"/>
    <w:rsid w:val="00736585"/>
    <w:rsid w:val="00737C14"/>
    <w:rsid w:val="00742036"/>
    <w:rsid w:val="007434AC"/>
    <w:rsid w:val="00744CDB"/>
    <w:rsid w:val="00745FA5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1778"/>
    <w:rsid w:val="00772C4F"/>
    <w:rsid w:val="00773AAB"/>
    <w:rsid w:val="0077567E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9341B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E6E12"/>
    <w:rsid w:val="007F13AB"/>
    <w:rsid w:val="007F154F"/>
    <w:rsid w:val="007F2FE9"/>
    <w:rsid w:val="007F5890"/>
    <w:rsid w:val="007F634B"/>
    <w:rsid w:val="007F69FA"/>
    <w:rsid w:val="0080087F"/>
    <w:rsid w:val="008014DA"/>
    <w:rsid w:val="00802ECA"/>
    <w:rsid w:val="00811347"/>
    <w:rsid w:val="008123CA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34711"/>
    <w:rsid w:val="0083560E"/>
    <w:rsid w:val="0083648E"/>
    <w:rsid w:val="008367A5"/>
    <w:rsid w:val="00842064"/>
    <w:rsid w:val="0084290C"/>
    <w:rsid w:val="00843BB8"/>
    <w:rsid w:val="008459FF"/>
    <w:rsid w:val="00845A7F"/>
    <w:rsid w:val="008517A6"/>
    <w:rsid w:val="0085202E"/>
    <w:rsid w:val="0085574A"/>
    <w:rsid w:val="00856BE4"/>
    <w:rsid w:val="00866DDD"/>
    <w:rsid w:val="00871766"/>
    <w:rsid w:val="00872092"/>
    <w:rsid w:val="008723CA"/>
    <w:rsid w:val="00874BB3"/>
    <w:rsid w:val="008753CF"/>
    <w:rsid w:val="00875B1A"/>
    <w:rsid w:val="00877183"/>
    <w:rsid w:val="008772B7"/>
    <w:rsid w:val="0087786B"/>
    <w:rsid w:val="00880E20"/>
    <w:rsid w:val="00881769"/>
    <w:rsid w:val="00882E1D"/>
    <w:rsid w:val="008848B1"/>
    <w:rsid w:val="00885E0C"/>
    <w:rsid w:val="00892CDB"/>
    <w:rsid w:val="00895739"/>
    <w:rsid w:val="00895809"/>
    <w:rsid w:val="00895F80"/>
    <w:rsid w:val="008972B1"/>
    <w:rsid w:val="008974F3"/>
    <w:rsid w:val="008A26A0"/>
    <w:rsid w:val="008A3F07"/>
    <w:rsid w:val="008A5507"/>
    <w:rsid w:val="008A74E8"/>
    <w:rsid w:val="008B0B40"/>
    <w:rsid w:val="008B26B4"/>
    <w:rsid w:val="008B4539"/>
    <w:rsid w:val="008B5039"/>
    <w:rsid w:val="008C14E5"/>
    <w:rsid w:val="008C42CD"/>
    <w:rsid w:val="008C4DF4"/>
    <w:rsid w:val="008C5675"/>
    <w:rsid w:val="008D009F"/>
    <w:rsid w:val="008D1834"/>
    <w:rsid w:val="008D2A14"/>
    <w:rsid w:val="008D3F19"/>
    <w:rsid w:val="008D5053"/>
    <w:rsid w:val="008E0132"/>
    <w:rsid w:val="008E3996"/>
    <w:rsid w:val="008E5B6C"/>
    <w:rsid w:val="008F01FC"/>
    <w:rsid w:val="008F034B"/>
    <w:rsid w:val="008F0AAC"/>
    <w:rsid w:val="008F1B4D"/>
    <w:rsid w:val="008F2C02"/>
    <w:rsid w:val="008F2CFF"/>
    <w:rsid w:val="008F77DD"/>
    <w:rsid w:val="008F7EA7"/>
    <w:rsid w:val="00901841"/>
    <w:rsid w:val="00904B14"/>
    <w:rsid w:val="00904E04"/>
    <w:rsid w:val="00911720"/>
    <w:rsid w:val="00911FF4"/>
    <w:rsid w:val="00914465"/>
    <w:rsid w:val="0091784B"/>
    <w:rsid w:val="00920635"/>
    <w:rsid w:val="00920BE7"/>
    <w:rsid w:val="00921FC7"/>
    <w:rsid w:val="00924CF6"/>
    <w:rsid w:val="009268F5"/>
    <w:rsid w:val="00927365"/>
    <w:rsid w:val="00930A5C"/>
    <w:rsid w:val="00930DC6"/>
    <w:rsid w:val="0093261C"/>
    <w:rsid w:val="009337AC"/>
    <w:rsid w:val="00933A46"/>
    <w:rsid w:val="00935150"/>
    <w:rsid w:val="00935219"/>
    <w:rsid w:val="00936840"/>
    <w:rsid w:val="00936A3D"/>
    <w:rsid w:val="00941B66"/>
    <w:rsid w:val="00943336"/>
    <w:rsid w:val="00943C5E"/>
    <w:rsid w:val="009456D4"/>
    <w:rsid w:val="00946C47"/>
    <w:rsid w:val="00953475"/>
    <w:rsid w:val="00953949"/>
    <w:rsid w:val="00953D5C"/>
    <w:rsid w:val="00956547"/>
    <w:rsid w:val="00962A05"/>
    <w:rsid w:val="00963230"/>
    <w:rsid w:val="00965609"/>
    <w:rsid w:val="0096608A"/>
    <w:rsid w:val="009668DE"/>
    <w:rsid w:val="00966D68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0312"/>
    <w:rsid w:val="00993D91"/>
    <w:rsid w:val="00994AF6"/>
    <w:rsid w:val="00994DDB"/>
    <w:rsid w:val="00997139"/>
    <w:rsid w:val="009A1D96"/>
    <w:rsid w:val="009A692E"/>
    <w:rsid w:val="009A7442"/>
    <w:rsid w:val="009B0753"/>
    <w:rsid w:val="009B7F16"/>
    <w:rsid w:val="009C0676"/>
    <w:rsid w:val="009C075D"/>
    <w:rsid w:val="009C15F1"/>
    <w:rsid w:val="009C5621"/>
    <w:rsid w:val="009C7F14"/>
    <w:rsid w:val="009D01A0"/>
    <w:rsid w:val="009D025D"/>
    <w:rsid w:val="009D233E"/>
    <w:rsid w:val="009D31EC"/>
    <w:rsid w:val="009D34A3"/>
    <w:rsid w:val="009E408E"/>
    <w:rsid w:val="009E4572"/>
    <w:rsid w:val="009E7575"/>
    <w:rsid w:val="009F15E7"/>
    <w:rsid w:val="009F196F"/>
    <w:rsid w:val="009F274E"/>
    <w:rsid w:val="009F35CD"/>
    <w:rsid w:val="009F7C5E"/>
    <w:rsid w:val="00A01FCE"/>
    <w:rsid w:val="00A05099"/>
    <w:rsid w:val="00A06149"/>
    <w:rsid w:val="00A0629B"/>
    <w:rsid w:val="00A068FB"/>
    <w:rsid w:val="00A0788B"/>
    <w:rsid w:val="00A10255"/>
    <w:rsid w:val="00A117E9"/>
    <w:rsid w:val="00A11D78"/>
    <w:rsid w:val="00A12517"/>
    <w:rsid w:val="00A12551"/>
    <w:rsid w:val="00A12BAB"/>
    <w:rsid w:val="00A132B6"/>
    <w:rsid w:val="00A1394D"/>
    <w:rsid w:val="00A13F0B"/>
    <w:rsid w:val="00A14078"/>
    <w:rsid w:val="00A17001"/>
    <w:rsid w:val="00A176AA"/>
    <w:rsid w:val="00A201A3"/>
    <w:rsid w:val="00A23905"/>
    <w:rsid w:val="00A2466A"/>
    <w:rsid w:val="00A24875"/>
    <w:rsid w:val="00A265D0"/>
    <w:rsid w:val="00A27372"/>
    <w:rsid w:val="00A319F7"/>
    <w:rsid w:val="00A31C14"/>
    <w:rsid w:val="00A31F0C"/>
    <w:rsid w:val="00A33731"/>
    <w:rsid w:val="00A33E4A"/>
    <w:rsid w:val="00A34352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2041"/>
    <w:rsid w:val="00A63543"/>
    <w:rsid w:val="00A7430D"/>
    <w:rsid w:val="00A74CD5"/>
    <w:rsid w:val="00A74D49"/>
    <w:rsid w:val="00A758B5"/>
    <w:rsid w:val="00A807BA"/>
    <w:rsid w:val="00A840D5"/>
    <w:rsid w:val="00A91E08"/>
    <w:rsid w:val="00A93515"/>
    <w:rsid w:val="00A94D1F"/>
    <w:rsid w:val="00A959F1"/>
    <w:rsid w:val="00A97129"/>
    <w:rsid w:val="00A97D53"/>
    <w:rsid w:val="00AA15B2"/>
    <w:rsid w:val="00AA2003"/>
    <w:rsid w:val="00AA3E59"/>
    <w:rsid w:val="00AA69D2"/>
    <w:rsid w:val="00AB1473"/>
    <w:rsid w:val="00AB1E57"/>
    <w:rsid w:val="00AB6698"/>
    <w:rsid w:val="00AC0236"/>
    <w:rsid w:val="00AC5B79"/>
    <w:rsid w:val="00AC6DF8"/>
    <w:rsid w:val="00AD1D8B"/>
    <w:rsid w:val="00AD20B9"/>
    <w:rsid w:val="00AD30C6"/>
    <w:rsid w:val="00AD3963"/>
    <w:rsid w:val="00AD4DD9"/>
    <w:rsid w:val="00AE164D"/>
    <w:rsid w:val="00AE44C9"/>
    <w:rsid w:val="00AE5185"/>
    <w:rsid w:val="00AF11EE"/>
    <w:rsid w:val="00AF224A"/>
    <w:rsid w:val="00AF254B"/>
    <w:rsid w:val="00B00A44"/>
    <w:rsid w:val="00B01460"/>
    <w:rsid w:val="00B0179B"/>
    <w:rsid w:val="00B022DB"/>
    <w:rsid w:val="00B02DB5"/>
    <w:rsid w:val="00B0366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16C00"/>
    <w:rsid w:val="00B17D7C"/>
    <w:rsid w:val="00B2047D"/>
    <w:rsid w:val="00B22689"/>
    <w:rsid w:val="00B27B61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FF6"/>
    <w:rsid w:val="00B718D1"/>
    <w:rsid w:val="00B77D91"/>
    <w:rsid w:val="00B807B3"/>
    <w:rsid w:val="00B807FC"/>
    <w:rsid w:val="00B812E5"/>
    <w:rsid w:val="00B83758"/>
    <w:rsid w:val="00B84A0E"/>
    <w:rsid w:val="00B86791"/>
    <w:rsid w:val="00B86966"/>
    <w:rsid w:val="00B86C86"/>
    <w:rsid w:val="00B94515"/>
    <w:rsid w:val="00B95B93"/>
    <w:rsid w:val="00B970B4"/>
    <w:rsid w:val="00BA10CB"/>
    <w:rsid w:val="00BA3159"/>
    <w:rsid w:val="00BA3906"/>
    <w:rsid w:val="00BB2F44"/>
    <w:rsid w:val="00BB5E4C"/>
    <w:rsid w:val="00BC0DD4"/>
    <w:rsid w:val="00BC1E2F"/>
    <w:rsid w:val="00BC2537"/>
    <w:rsid w:val="00BC3717"/>
    <w:rsid w:val="00BC53DC"/>
    <w:rsid w:val="00BD1331"/>
    <w:rsid w:val="00BD14D7"/>
    <w:rsid w:val="00BD2944"/>
    <w:rsid w:val="00BD36A0"/>
    <w:rsid w:val="00BD5761"/>
    <w:rsid w:val="00BE0588"/>
    <w:rsid w:val="00BE0834"/>
    <w:rsid w:val="00BE1BE1"/>
    <w:rsid w:val="00BE3533"/>
    <w:rsid w:val="00BE4E4B"/>
    <w:rsid w:val="00BE65D4"/>
    <w:rsid w:val="00BE7960"/>
    <w:rsid w:val="00BF1175"/>
    <w:rsid w:val="00BF4150"/>
    <w:rsid w:val="00BF43E9"/>
    <w:rsid w:val="00BF7B06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633A"/>
    <w:rsid w:val="00C166DD"/>
    <w:rsid w:val="00C17207"/>
    <w:rsid w:val="00C22606"/>
    <w:rsid w:val="00C238C5"/>
    <w:rsid w:val="00C247D4"/>
    <w:rsid w:val="00C26661"/>
    <w:rsid w:val="00C26D3F"/>
    <w:rsid w:val="00C30255"/>
    <w:rsid w:val="00C303DB"/>
    <w:rsid w:val="00C308E0"/>
    <w:rsid w:val="00C31642"/>
    <w:rsid w:val="00C31B8E"/>
    <w:rsid w:val="00C32B34"/>
    <w:rsid w:val="00C33DDD"/>
    <w:rsid w:val="00C359BA"/>
    <w:rsid w:val="00C40209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4B7D"/>
    <w:rsid w:val="00C75D9E"/>
    <w:rsid w:val="00C80B91"/>
    <w:rsid w:val="00C81458"/>
    <w:rsid w:val="00C81736"/>
    <w:rsid w:val="00C8288B"/>
    <w:rsid w:val="00C84B50"/>
    <w:rsid w:val="00C85469"/>
    <w:rsid w:val="00C86446"/>
    <w:rsid w:val="00C875B3"/>
    <w:rsid w:val="00C92A7E"/>
    <w:rsid w:val="00C95F88"/>
    <w:rsid w:val="00CA023A"/>
    <w:rsid w:val="00CA19DF"/>
    <w:rsid w:val="00CA7AF0"/>
    <w:rsid w:val="00CB221A"/>
    <w:rsid w:val="00CB2FB2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0E6C"/>
    <w:rsid w:val="00CF1EFA"/>
    <w:rsid w:val="00CF2F9D"/>
    <w:rsid w:val="00CF4B93"/>
    <w:rsid w:val="00CF5A63"/>
    <w:rsid w:val="00CF6633"/>
    <w:rsid w:val="00CF7130"/>
    <w:rsid w:val="00CF7AC7"/>
    <w:rsid w:val="00D04821"/>
    <w:rsid w:val="00D0554D"/>
    <w:rsid w:val="00D076D0"/>
    <w:rsid w:val="00D11375"/>
    <w:rsid w:val="00D134B7"/>
    <w:rsid w:val="00D13894"/>
    <w:rsid w:val="00D155D9"/>
    <w:rsid w:val="00D20FAA"/>
    <w:rsid w:val="00D21D09"/>
    <w:rsid w:val="00D36A8C"/>
    <w:rsid w:val="00D428F4"/>
    <w:rsid w:val="00D43181"/>
    <w:rsid w:val="00D43EDE"/>
    <w:rsid w:val="00D4536C"/>
    <w:rsid w:val="00D45C41"/>
    <w:rsid w:val="00D45EF1"/>
    <w:rsid w:val="00D461DE"/>
    <w:rsid w:val="00D46223"/>
    <w:rsid w:val="00D50085"/>
    <w:rsid w:val="00D50DE5"/>
    <w:rsid w:val="00D54B27"/>
    <w:rsid w:val="00D54CC0"/>
    <w:rsid w:val="00D55035"/>
    <w:rsid w:val="00D578D3"/>
    <w:rsid w:val="00D63DA8"/>
    <w:rsid w:val="00D73A86"/>
    <w:rsid w:val="00D74BA3"/>
    <w:rsid w:val="00D7555A"/>
    <w:rsid w:val="00D76293"/>
    <w:rsid w:val="00D7748E"/>
    <w:rsid w:val="00D804D2"/>
    <w:rsid w:val="00D81E2F"/>
    <w:rsid w:val="00D82906"/>
    <w:rsid w:val="00D83060"/>
    <w:rsid w:val="00D84A2D"/>
    <w:rsid w:val="00D8749B"/>
    <w:rsid w:val="00D87DB9"/>
    <w:rsid w:val="00D90624"/>
    <w:rsid w:val="00D906DF"/>
    <w:rsid w:val="00D9436D"/>
    <w:rsid w:val="00DA3088"/>
    <w:rsid w:val="00DA4CF2"/>
    <w:rsid w:val="00DA68EF"/>
    <w:rsid w:val="00DB0239"/>
    <w:rsid w:val="00DB11D4"/>
    <w:rsid w:val="00DB227F"/>
    <w:rsid w:val="00DB70C1"/>
    <w:rsid w:val="00DC0110"/>
    <w:rsid w:val="00DC2224"/>
    <w:rsid w:val="00DC3AC1"/>
    <w:rsid w:val="00DC5105"/>
    <w:rsid w:val="00DD09EF"/>
    <w:rsid w:val="00DD20D1"/>
    <w:rsid w:val="00DD4FE2"/>
    <w:rsid w:val="00DD64C5"/>
    <w:rsid w:val="00DD675E"/>
    <w:rsid w:val="00DE14E2"/>
    <w:rsid w:val="00DE15AC"/>
    <w:rsid w:val="00DE2C36"/>
    <w:rsid w:val="00DE2F94"/>
    <w:rsid w:val="00DE3319"/>
    <w:rsid w:val="00DE37AC"/>
    <w:rsid w:val="00DE4595"/>
    <w:rsid w:val="00DE477A"/>
    <w:rsid w:val="00DE4A91"/>
    <w:rsid w:val="00DE6B35"/>
    <w:rsid w:val="00DE70C2"/>
    <w:rsid w:val="00DF0675"/>
    <w:rsid w:val="00DF1145"/>
    <w:rsid w:val="00DF46A7"/>
    <w:rsid w:val="00DF4FE6"/>
    <w:rsid w:val="00DF580D"/>
    <w:rsid w:val="00DF6FDA"/>
    <w:rsid w:val="00DF7E2B"/>
    <w:rsid w:val="00E00650"/>
    <w:rsid w:val="00E02063"/>
    <w:rsid w:val="00E05885"/>
    <w:rsid w:val="00E10BFB"/>
    <w:rsid w:val="00E1249A"/>
    <w:rsid w:val="00E12880"/>
    <w:rsid w:val="00E14D9E"/>
    <w:rsid w:val="00E16DA6"/>
    <w:rsid w:val="00E21280"/>
    <w:rsid w:val="00E21904"/>
    <w:rsid w:val="00E21E99"/>
    <w:rsid w:val="00E2228E"/>
    <w:rsid w:val="00E227DB"/>
    <w:rsid w:val="00E2368F"/>
    <w:rsid w:val="00E23E56"/>
    <w:rsid w:val="00E30FFC"/>
    <w:rsid w:val="00E3121B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729CB"/>
    <w:rsid w:val="00E73C50"/>
    <w:rsid w:val="00E7454C"/>
    <w:rsid w:val="00E777C8"/>
    <w:rsid w:val="00E8011B"/>
    <w:rsid w:val="00E81EE4"/>
    <w:rsid w:val="00E82DCD"/>
    <w:rsid w:val="00E83444"/>
    <w:rsid w:val="00E83578"/>
    <w:rsid w:val="00E84827"/>
    <w:rsid w:val="00E849E6"/>
    <w:rsid w:val="00E84DD9"/>
    <w:rsid w:val="00E870C1"/>
    <w:rsid w:val="00E909E6"/>
    <w:rsid w:val="00E90B70"/>
    <w:rsid w:val="00E924EC"/>
    <w:rsid w:val="00EA0AA5"/>
    <w:rsid w:val="00EA27C3"/>
    <w:rsid w:val="00EA2BEE"/>
    <w:rsid w:val="00EA5F36"/>
    <w:rsid w:val="00EA7A70"/>
    <w:rsid w:val="00EB15F9"/>
    <w:rsid w:val="00EB2AAE"/>
    <w:rsid w:val="00EB2FED"/>
    <w:rsid w:val="00EB57CA"/>
    <w:rsid w:val="00EB7C3C"/>
    <w:rsid w:val="00EC07F6"/>
    <w:rsid w:val="00EC07FA"/>
    <w:rsid w:val="00EC3FB8"/>
    <w:rsid w:val="00EC5B03"/>
    <w:rsid w:val="00EC6D9E"/>
    <w:rsid w:val="00ED3B0C"/>
    <w:rsid w:val="00ED4F97"/>
    <w:rsid w:val="00ED7B80"/>
    <w:rsid w:val="00EE087B"/>
    <w:rsid w:val="00EE0CC2"/>
    <w:rsid w:val="00EE18F8"/>
    <w:rsid w:val="00EE2204"/>
    <w:rsid w:val="00EE31D9"/>
    <w:rsid w:val="00EE71EB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027"/>
    <w:rsid w:val="00F0783D"/>
    <w:rsid w:val="00F129DE"/>
    <w:rsid w:val="00F12E5F"/>
    <w:rsid w:val="00F14E08"/>
    <w:rsid w:val="00F14EF1"/>
    <w:rsid w:val="00F17443"/>
    <w:rsid w:val="00F203B0"/>
    <w:rsid w:val="00F20CD7"/>
    <w:rsid w:val="00F210E9"/>
    <w:rsid w:val="00F2150A"/>
    <w:rsid w:val="00F22AF0"/>
    <w:rsid w:val="00F230EC"/>
    <w:rsid w:val="00F32A60"/>
    <w:rsid w:val="00F33929"/>
    <w:rsid w:val="00F35542"/>
    <w:rsid w:val="00F35892"/>
    <w:rsid w:val="00F35BB4"/>
    <w:rsid w:val="00F370E0"/>
    <w:rsid w:val="00F404F0"/>
    <w:rsid w:val="00F424C2"/>
    <w:rsid w:val="00F42C1C"/>
    <w:rsid w:val="00F4744B"/>
    <w:rsid w:val="00F504FB"/>
    <w:rsid w:val="00F51972"/>
    <w:rsid w:val="00F51B46"/>
    <w:rsid w:val="00F55691"/>
    <w:rsid w:val="00F55B87"/>
    <w:rsid w:val="00F579D7"/>
    <w:rsid w:val="00F57C84"/>
    <w:rsid w:val="00F6361F"/>
    <w:rsid w:val="00F63D46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A4C1B"/>
    <w:rsid w:val="00FA5355"/>
    <w:rsid w:val="00FA6BF1"/>
    <w:rsid w:val="00FB4542"/>
    <w:rsid w:val="00FB6C2F"/>
    <w:rsid w:val="00FB6F47"/>
    <w:rsid w:val="00FB7DD2"/>
    <w:rsid w:val="00FC0091"/>
    <w:rsid w:val="00FC10E9"/>
    <w:rsid w:val="00FC4FF0"/>
    <w:rsid w:val="00FC57BC"/>
    <w:rsid w:val="00FC5D7E"/>
    <w:rsid w:val="00FC5E40"/>
    <w:rsid w:val="00FC7D07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3354"/>
    <w:rsid w:val="00FE47F2"/>
    <w:rsid w:val="00FE6C0D"/>
    <w:rsid w:val="00FF10DD"/>
    <w:rsid w:val="00FF1925"/>
    <w:rsid w:val="00FF199F"/>
    <w:rsid w:val="00FF1F02"/>
    <w:rsid w:val="00FF22E4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728</Words>
  <Characters>4178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Pawel Bartoszewicz</cp:lastModifiedBy>
  <cp:revision>190</cp:revision>
  <dcterms:created xsi:type="dcterms:W3CDTF">2026-02-04T08:58:00Z</dcterms:created>
  <dcterms:modified xsi:type="dcterms:W3CDTF">2026-02-05T08:02:00Z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