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13215" w14:textId="77777777" w:rsidR="00B90A90" w:rsidRPr="003463C5" w:rsidRDefault="00B90A90" w:rsidP="00B90A90">
      <w:pPr>
        <w:pStyle w:val="Legalentity"/>
        <w:spacing w:after="140" w:line="240" w:lineRule="auto"/>
        <w:ind w:left="7088"/>
        <w:rPr>
          <w:rFonts w:ascii="Calibri Light" w:hAnsi="Calibri Light" w:cs="Calibri Light"/>
          <w:color w:val="auto"/>
          <w:sz w:val="18"/>
        </w:rPr>
      </w:pPr>
      <w:r w:rsidRPr="003463C5">
        <w:rPr>
          <w:rFonts w:ascii="Calibri Light" w:hAnsi="Calibri Light" w:cs="Calibri Light"/>
          <w:noProof/>
          <w:color w:val="auto"/>
          <w:lang w:eastAsia="pl-PL"/>
        </w:rPr>
        <w:drawing>
          <wp:anchor distT="0" distB="0" distL="114300" distR="114300" simplePos="0" relativeHeight="251658241" behindDoc="0" locked="1" layoutInCell="1" allowOverlap="1" wp14:anchorId="570C5C2A" wp14:editId="76CB6C62">
            <wp:simplePos x="0" y="0"/>
            <wp:positionH relativeFrom="page">
              <wp:posOffset>870585</wp:posOffset>
            </wp:positionH>
            <wp:positionV relativeFrom="page">
              <wp:posOffset>607060</wp:posOffset>
            </wp:positionV>
            <wp:extent cx="1871980" cy="348615"/>
            <wp:effectExtent l="0" t="0" r="0" b="0"/>
            <wp:wrapNone/>
            <wp:docPr id="12" name="Picture 12" descr="Obraz zawierający Czcionka, Grafika, logo,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Obraz zawierający Czcionka, Grafika, logo, tekst&#10;&#10;Opis wygenerowany automatyczni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1980" cy="348615"/>
                    </a:xfrm>
                    <a:prstGeom prst="rect">
                      <a:avLst/>
                    </a:prstGeom>
                  </pic:spPr>
                </pic:pic>
              </a:graphicData>
            </a:graphic>
            <wp14:sizeRelH relativeFrom="page">
              <wp14:pctWidth>0</wp14:pctWidth>
            </wp14:sizeRelH>
            <wp14:sizeRelV relativeFrom="page">
              <wp14:pctHeight>0</wp14:pctHeight>
            </wp14:sizeRelV>
          </wp:anchor>
        </w:drawing>
      </w:r>
      <w:r w:rsidRPr="003463C5">
        <w:rPr>
          <w:rFonts w:ascii="Calibri Light" w:hAnsi="Calibri Light" w:cs="Calibri Light"/>
          <w:color w:val="auto"/>
        </w:rPr>
        <w:t>Deloitte Polska</w:t>
      </w:r>
      <w:r w:rsidRPr="003463C5">
        <w:rPr>
          <w:rFonts w:ascii="Calibri Light" w:hAnsi="Calibri Light" w:cs="Calibri Light"/>
          <w:color w:val="auto"/>
        </w:rPr>
        <w:br/>
        <w:t>Al. Jana Pawła II 22</w:t>
      </w:r>
      <w:r w:rsidRPr="003463C5">
        <w:rPr>
          <w:rFonts w:ascii="Calibri Light" w:hAnsi="Calibri Light" w:cs="Calibri Light"/>
          <w:color w:val="auto"/>
        </w:rPr>
        <w:br/>
        <w:t>00-133 Warszawa</w:t>
      </w:r>
      <w:r w:rsidRPr="003463C5">
        <w:rPr>
          <w:rFonts w:ascii="Calibri Light" w:hAnsi="Calibri Light" w:cs="Calibri Light"/>
          <w:color w:val="auto"/>
        </w:rPr>
        <w:br/>
        <w:t>Polska</w:t>
      </w:r>
    </w:p>
    <w:p w14:paraId="425B45DE" w14:textId="77777777" w:rsidR="00B90A90" w:rsidRPr="003463C5" w:rsidRDefault="00B90A90" w:rsidP="00B90A90">
      <w:pPr>
        <w:pStyle w:val="Nagwek"/>
        <w:tabs>
          <w:tab w:val="clear" w:pos="4320"/>
          <w:tab w:val="clear" w:pos="8640"/>
          <w:tab w:val="left" w:pos="3070"/>
        </w:tabs>
        <w:spacing w:before="80" w:line="180" w:lineRule="exact"/>
        <w:ind w:left="7088"/>
        <w:rPr>
          <w:rFonts w:ascii="Calibri Light" w:hAnsi="Calibri Light" w:cs="Calibri Light"/>
          <w:lang w:val="en-US"/>
        </w:rPr>
      </w:pPr>
      <w:r w:rsidRPr="003463C5">
        <w:rPr>
          <w:rFonts w:ascii="Calibri Light" w:hAnsi="Calibri Light" w:cs="Calibri Light"/>
          <w:noProof/>
          <w:sz w:val="18"/>
          <w:lang w:eastAsia="pl-PL"/>
        </w:rPr>
        <mc:AlternateContent>
          <mc:Choice Requires="wps">
            <w:drawing>
              <wp:anchor distT="0" distB="0" distL="114300" distR="114300" simplePos="0" relativeHeight="251658240" behindDoc="0" locked="0" layoutInCell="1" allowOverlap="1" wp14:anchorId="66065389" wp14:editId="1BBF9BDE">
                <wp:simplePos x="0" y="0"/>
                <wp:positionH relativeFrom="column">
                  <wp:posOffset>2095</wp:posOffset>
                </wp:positionH>
                <wp:positionV relativeFrom="page">
                  <wp:posOffset>2155370</wp:posOffset>
                </wp:positionV>
                <wp:extent cx="3949700" cy="480951"/>
                <wp:effectExtent l="0" t="0" r="12700" b="146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480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206AE" w14:textId="77777777" w:rsidR="00B90A90" w:rsidRPr="00450249" w:rsidRDefault="00B90A90" w:rsidP="00B90A90">
                            <w:pPr>
                              <w:pStyle w:val="Fax"/>
                              <w:spacing w:line="600" w:lineRule="exact"/>
                            </w:pPr>
                            <w:r w:rsidRPr="003463C5">
                              <w:rPr>
                                <w:rFonts w:ascii="Open Sans" w:hAnsi="Open Sans" w:cs="Open Sans"/>
                                <w:color w:val="000000" w:themeColor="text1"/>
                              </w:rPr>
                              <w:t>Informacja prasowa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65389" id="_x0000_t202" coordsize="21600,21600" o:spt="202" path="m,l,21600r21600,l21600,xe">
                <v:stroke joinstyle="miter"/>
                <v:path gradientshapeok="t" o:connecttype="rect"/>
              </v:shapetype>
              <v:shape id="Text Box 2" o:spid="_x0000_s1026" type="#_x0000_t202" style="position:absolute;left:0;text-align:left;margin-left:.15pt;margin-top:169.7pt;width:311pt;height:3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" filled="f" stroked="f">
                <v:textbox inset="0,0,0,0">
                  <w:txbxContent>
                    <w:p w14:paraId="702206AE" w14:textId="77777777" w:rsidR="00B90A90" w:rsidRPr="00450249" w:rsidRDefault="00B90A90" w:rsidP="00B90A90">
                      <w:pPr>
                        <w:pStyle w:val="Fax"/>
                        <w:spacing w:line="600" w:lineRule="exact"/>
                      </w:pPr>
                      <w:r w:rsidRPr="003463C5">
                        <w:rPr>
                          <w:rFonts w:ascii="Open Sans" w:hAnsi="Open Sans" w:cs="Open Sans"/>
                          <w:color w:val="000000" w:themeColor="text1"/>
                        </w:rPr>
                        <w:t>Informacja prasowa</w:t>
                      </w:r>
                    </w:p>
                  </w:txbxContent>
                </v:textbox>
                <w10:wrap anchory="page"/>
              </v:shape>
            </w:pict>
          </mc:Fallback>
        </mc:AlternateContent>
      </w:r>
      <w:r w:rsidRPr="003463C5">
        <w:rPr>
          <w:rFonts w:ascii="Calibri Light" w:hAnsi="Calibri Light" w:cs="Calibri Light"/>
          <w:sz w:val="15"/>
          <w:lang w:val="en-US"/>
        </w:rPr>
        <w:t>Tel.: +48 22 511 08 11/12</w:t>
      </w:r>
      <w:r w:rsidRPr="003463C5">
        <w:rPr>
          <w:rFonts w:ascii="Calibri Light" w:hAnsi="Calibri Light" w:cs="Calibri Light"/>
          <w:sz w:val="15"/>
          <w:lang w:val="en-US"/>
        </w:rPr>
        <w:br/>
      </w:r>
      <w:r w:rsidRPr="003463C5">
        <w:rPr>
          <w:rFonts w:ascii="Calibri Light" w:hAnsi="Calibri Light" w:cs="Calibri Light"/>
          <w:spacing w:val="-2"/>
          <w:sz w:val="15"/>
          <w:lang w:val="en-US"/>
        </w:rPr>
        <w:t>Fax:</w:t>
      </w:r>
      <w:r w:rsidRPr="003463C5">
        <w:rPr>
          <w:rFonts w:ascii="Calibri Light" w:hAnsi="Calibri Light" w:cs="Calibri Light"/>
          <w:sz w:val="15"/>
          <w:lang w:val="en-US"/>
        </w:rPr>
        <w:t xml:space="preserve"> +48 22 511 08 13</w:t>
      </w:r>
      <w:r w:rsidRPr="003463C5">
        <w:rPr>
          <w:rFonts w:ascii="Calibri Light" w:hAnsi="Calibri Light" w:cs="Calibri Light"/>
          <w:spacing w:val="-2"/>
          <w:sz w:val="15"/>
          <w:lang w:val="en-US"/>
        </w:rPr>
        <w:br/>
      </w:r>
      <w:hyperlink r:id="rId11" w:history="1">
        <w:r w:rsidRPr="003463C5">
          <w:rPr>
            <w:rStyle w:val="Hipercze"/>
            <w:rFonts w:ascii="Calibri Light" w:hAnsi="Calibri Light" w:cs="Calibri Light"/>
            <w:color w:val="auto"/>
            <w:sz w:val="15"/>
            <w:lang w:val="en-US"/>
          </w:rPr>
          <w:t>www.deloitte.com/pl</w:t>
        </w:r>
      </w:hyperlink>
      <w:r w:rsidRPr="003463C5">
        <w:rPr>
          <w:rFonts w:ascii="Calibri Light" w:hAnsi="Calibri Light" w:cs="Calibri Light"/>
          <w:sz w:val="15"/>
          <w:lang w:val="en-US"/>
        </w:rPr>
        <w:t xml:space="preserve"> </w:t>
      </w:r>
    </w:p>
    <w:p w14:paraId="42942140" w14:textId="77777777" w:rsidR="00B90A90" w:rsidRPr="003463C5" w:rsidRDefault="00B90A90" w:rsidP="00B90A90">
      <w:pPr>
        <w:pStyle w:val="Maintext"/>
        <w:spacing w:after="120" w:line="240" w:lineRule="auto"/>
        <w:rPr>
          <w:rFonts w:ascii="Calibri Light" w:hAnsi="Calibri Light" w:cs="Calibri Light"/>
          <w:color w:val="auto"/>
          <w:lang w:val="en-US"/>
        </w:rPr>
      </w:pPr>
    </w:p>
    <w:p w14:paraId="47CC78A7" w14:textId="77777777" w:rsidR="00B90A90" w:rsidRPr="003463C5" w:rsidRDefault="00B90A90" w:rsidP="00B90A90">
      <w:pPr>
        <w:pStyle w:val="Maintext"/>
        <w:spacing w:after="120" w:line="240" w:lineRule="auto"/>
        <w:rPr>
          <w:rFonts w:ascii="Calibri Light" w:hAnsi="Calibri Light" w:cs="Calibri Light"/>
          <w:color w:val="auto"/>
          <w:lang w:val="en-US"/>
        </w:rPr>
      </w:pPr>
    </w:p>
    <w:tbl>
      <w:tblPr>
        <w:tblW w:w="9654" w:type="dxa"/>
        <w:tblLook w:val="00A0" w:firstRow="1" w:lastRow="0" w:firstColumn="1" w:lastColumn="0" w:noHBand="0" w:noVBand="0"/>
      </w:tblPr>
      <w:tblGrid>
        <w:gridCol w:w="4077"/>
        <w:gridCol w:w="426"/>
        <w:gridCol w:w="5151"/>
      </w:tblGrid>
      <w:tr w:rsidR="00085189" w:rsidRPr="003463C5" w14:paraId="691CDCA7" w14:textId="77777777">
        <w:tc>
          <w:tcPr>
            <w:tcW w:w="4077" w:type="dxa"/>
          </w:tcPr>
          <w:p w14:paraId="0A3D87CC" w14:textId="77777777" w:rsidR="00B90A90" w:rsidRPr="003463C5" w:rsidRDefault="00B90A90">
            <w:pPr>
              <w:pStyle w:val="Maintext"/>
              <w:rPr>
                <w:rFonts w:ascii="Calibri Light" w:hAnsi="Calibri Light" w:cs="Calibri Light"/>
                <w:sz w:val="18"/>
                <w:szCs w:val="18"/>
              </w:rPr>
            </w:pPr>
            <w:r w:rsidRPr="003463C5">
              <w:rPr>
                <w:rFonts w:ascii="Calibri Light" w:hAnsi="Calibri Light" w:cs="Calibri Light"/>
                <w:sz w:val="18"/>
                <w:szCs w:val="18"/>
              </w:rPr>
              <w:t>Kontakt: Biuro Prasowe Deloitte</w:t>
            </w:r>
          </w:p>
          <w:p w14:paraId="758F4A83" w14:textId="77777777" w:rsidR="00B90A90" w:rsidRPr="003463C5" w:rsidRDefault="00B90A90">
            <w:pPr>
              <w:rPr>
                <w:rFonts w:ascii="Calibri Light" w:eastAsia="Times New Roman" w:hAnsi="Calibri Light" w:cs="Calibri Light"/>
                <w:color w:val="000000"/>
                <w:sz w:val="18"/>
                <w:szCs w:val="18"/>
              </w:rPr>
            </w:pPr>
            <w:r w:rsidRPr="003463C5">
              <w:rPr>
                <w:rFonts w:ascii="Calibri Light" w:eastAsia="Times New Roman" w:hAnsi="Calibri Light" w:cs="Calibri Light"/>
                <w:color w:val="000000"/>
                <w:sz w:val="18"/>
                <w:szCs w:val="18"/>
              </w:rPr>
              <w:t xml:space="preserve">Tel.: </w:t>
            </w:r>
            <w:r w:rsidRPr="001849C7">
              <w:rPr>
                <w:rFonts w:ascii="Calibri Light" w:eastAsia="Times New Roman" w:hAnsi="Calibri Light" w:cs="Calibri Light"/>
                <w:color w:val="000000"/>
                <w:sz w:val="18"/>
                <w:szCs w:val="18"/>
              </w:rPr>
              <w:t>+48 728 484 476</w:t>
            </w:r>
          </w:p>
          <w:p w14:paraId="152A86A4" w14:textId="77777777" w:rsidR="00B90A90" w:rsidRPr="003463C5" w:rsidRDefault="00B90A90">
            <w:pPr>
              <w:pStyle w:val="Maintext"/>
              <w:spacing w:line="240" w:lineRule="auto"/>
              <w:rPr>
                <w:rFonts w:ascii="Calibri Light" w:hAnsi="Calibri Light" w:cs="Calibri Light"/>
              </w:rPr>
            </w:pPr>
            <w:r w:rsidRPr="003463C5">
              <w:rPr>
                <w:rFonts w:ascii="Calibri Light" w:hAnsi="Calibri Light" w:cs="Calibri Light"/>
                <w:sz w:val="18"/>
                <w:szCs w:val="18"/>
              </w:rPr>
              <w:t xml:space="preserve">E-mail: </w:t>
            </w:r>
            <w:hyperlink r:id="rId12" w:history="1">
              <w:r w:rsidRPr="003463C5">
                <w:rPr>
                  <w:rFonts w:ascii="Calibri Light" w:hAnsi="Calibri Light" w:cs="Calibri Light"/>
                  <w:sz w:val="18"/>
                  <w:szCs w:val="18"/>
                </w:rPr>
                <w:t>media@deloittece.com</w:t>
              </w:r>
            </w:hyperlink>
          </w:p>
          <w:p w14:paraId="1B7C0F95" w14:textId="77777777" w:rsidR="00B90A90" w:rsidRPr="003463C5" w:rsidRDefault="00B90A90">
            <w:pPr>
              <w:pStyle w:val="Maintext"/>
              <w:spacing w:line="240" w:lineRule="auto"/>
              <w:rPr>
                <w:rFonts w:ascii="Calibri Light" w:hAnsi="Calibri Light" w:cs="Calibri Light"/>
                <w:sz w:val="18"/>
                <w:szCs w:val="18"/>
              </w:rPr>
            </w:pPr>
          </w:p>
        </w:tc>
        <w:tc>
          <w:tcPr>
            <w:tcW w:w="426" w:type="dxa"/>
          </w:tcPr>
          <w:p w14:paraId="016E7DFB" w14:textId="77777777" w:rsidR="00B90A90" w:rsidRPr="003463C5" w:rsidRDefault="00B90A90">
            <w:pPr>
              <w:pStyle w:val="Maintext"/>
              <w:spacing w:line="240" w:lineRule="auto"/>
              <w:rPr>
                <w:rFonts w:ascii="Calibri Light" w:hAnsi="Calibri Light" w:cs="Calibri Light"/>
                <w:color w:val="auto"/>
                <w:lang w:val="de-DE"/>
              </w:rPr>
            </w:pPr>
          </w:p>
        </w:tc>
        <w:tc>
          <w:tcPr>
            <w:tcW w:w="5151" w:type="dxa"/>
          </w:tcPr>
          <w:p w14:paraId="06E3B82A" w14:textId="77777777" w:rsidR="00B90A90" w:rsidRPr="003463C5" w:rsidRDefault="00B90A90">
            <w:pPr>
              <w:pStyle w:val="Maintext"/>
              <w:spacing w:line="240" w:lineRule="auto"/>
              <w:rPr>
                <w:rFonts w:ascii="Calibri Light" w:hAnsi="Calibri Light" w:cs="Calibri Light"/>
                <w:color w:val="auto"/>
                <w:lang w:val="de-DE"/>
              </w:rPr>
            </w:pPr>
          </w:p>
        </w:tc>
      </w:tr>
    </w:tbl>
    <w:p w14:paraId="19CC294C" w14:textId="77777777" w:rsidR="00A631FC" w:rsidRDefault="00A631FC" w:rsidP="004D1CBD">
      <w:pPr>
        <w:rPr>
          <w:rFonts w:ascii="Calibri Light" w:hAnsi="Calibri Light" w:cs="Calibri Light"/>
          <w:b/>
          <w:bCs/>
          <w:sz w:val="30"/>
          <w:szCs w:val="30"/>
        </w:rPr>
      </w:pPr>
    </w:p>
    <w:p w14:paraId="4257BC45" w14:textId="77777777" w:rsidR="00907AB3" w:rsidRPr="004D1CBD" w:rsidRDefault="00907AB3" w:rsidP="00D83355">
      <w:pPr>
        <w:jc w:val="center"/>
        <w:rPr>
          <w:rFonts w:ascii="Calibri Light" w:hAnsi="Calibri Light" w:cs="Calibri Light"/>
          <w:i/>
          <w:iCs/>
          <w:sz w:val="28"/>
          <w:szCs w:val="28"/>
        </w:rPr>
      </w:pPr>
    </w:p>
    <w:p w14:paraId="0E904758" w14:textId="0672C2DF" w:rsidR="00617DB0" w:rsidRPr="00A05446" w:rsidRDefault="007A0E37" w:rsidP="00D83355">
      <w:pPr>
        <w:jc w:val="center"/>
        <w:rPr>
          <w:rFonts w:ascii="Calibri Light" w:hAnsi="Calibri Light" w:cs="Calibri Light"/>
          <w:b/>
          <w:bCs/>
          <w:sz w:val="28"/>
          <w:szCs w:val="28"/>
        </w:rPr>
      </w:pPr>
      <w:r>
        <w:rPr>
          <w:rFonts w:ascii="Calibri Light" w:hAnsi="Calibri Light" w:cs="Calibri Light"/>
          <w:b/>
          <w:bCs/>
          <w:sz w:val="28"/>
          <w:szCs w:val="28"/>
        </w:rPr>
        <w:t xml:space="preserve">Cykliczny raport Deloitte: </w:t>
      </w:r>
      <w:r w:rsidR="00193211">
        <w:rPr>
          <w:rFonts w:ascii="Calibri Light" w:hAnsi="Calibri Light" w:cs="Calibri Light"/>
          <w:b/>
          <w:bCs/>
          <w:sz w:val="28"/>
          <w:szCs w:val="28"/>
        </w:rPr>
        <w:t>p</w:t>
      </w:r>
      <w:r w:rsidR="008E7C47" w:rsidRPr="00A05446">
        <w:rPr>
          <w:rFonts w:ascii="Calibri Light" w:hAnsi="Calibri Light" w:cs="Calibri Light"/>
          <w:b/>
          <w:bCs/>
          <w:sz w:val="28"/>
          <w:szCs w:val="28"/>
        </w:rPr>
        <w:t xml:space="preserve">onad połowa funduszy </w:t>
      </w:r>
      <w:proofErr w:type="spellStart"/>
      <w:r w:rsidR="008E7C47" w:rsidRPr="00A05446">
        <w:rPr>
          <w:rFonts w:ascii="Calibri Light" w:hAnsi="Calibri Light" w:cs="Calibri Light"/>
          <w:b/>
          <w:bCs/>
          <w:sz w:val="28"/>
          <w:szCs w:val="28"/>
        </w:rPr>
        <w:t>private</w:t>
      </w:r>
      <w:proofErr w:type="spellEnd"/>
      <w:r w:rsidR="008E7C47" w:rsidRPr="00A05446">
        <w:rPr>
          <w:rFonts w:ascii="Calibri Light" w:hAnsi="Calibri Light" w:cs="Calibri Light"/>
          <w:b/>
          <w:bCs/>
          <w:sz w:val="28"/>
          <w:szCs w:val="28"/>
        </w:rPr>
        <w:t xml:space="preserve"> equity </w:t>
      </w:r>
      <w:r w:rsidR="007C68E5" w:rsidRPr="00A05446">
        <w:rPr>
          <w:rFonts w:ascii="Calibri Light" w:hAnsi="Calibri Light" w:cs="Calibri Light"/>
          <w:b/>
          <w:bCs/>
          <w:sz w:val="28"/>
          <w:szCs w:val="28"/>
        </w:rPr>
        <w:t xml:space="preserve">z </w:t>
      </w:r>
      <w:r w:rsidR="00617DB0" w:rsidRPr="00A05446">
        <w:rPr>
          <w:rFonts w:ascii="Calibri Light" w:hAnsi="Calibri Light" w:cs="Calibri Light"/>
          <w:b/>
          <w:bCs/>
          <w:sz w:val="28"/>
          <w:szCs w:val="28"/>
        </w:rPr>
        <w:t xml:space="preserve">Europy Środkowej </w:t>
      </w:r>
      <w:r>
        <w:rPr>
          <w:rFonts w:ascii="Calibri Light" w:hAnsi="Calibri Light" w:cs="Calibri Light"/>
          <w:b/>
          <w:bCs/>
          <w:sz w:val="28"/>
          <w:szCs w:val="28"/>
        </w:rPr>
        <w:t xml:space="preserve">niezmiennie </w:t>
      </w:r>
      <w:r w:rsidR="008E7C47" w:rsidRPr="00A05446">
        <w:rPr>
          <w:rFonts w:ascii="Calibri Light" w:hAnsi="Calibri Light" w:cs="Calibri Light"/>
          <w:b/>
          <w:bCs/>
          <w:sz w:val="28"/>
          <w:szCs w:val="28"/>
        </w:rPr>
        <w:t xml:space="preserve">spodziewa się wzrostu aktywności rynkowej w 2026 </w:t>
      </w:r>
      <w:r w:rsidR="007C68E5" w:rsidRPr="00A05446">
        <w:rPr>
          <w:rFonts w:ascii="Calibri Light" w:hAnsi="Calibri Light" w:cs="Calibri Light"/>
          <w:b/>
          <w:bCs/>
          <w:sz w:val="28"/>
          <w:szCs w:val="28"/>
        </w:rPr>
        <w:t>r.</w:t>
      </w:r>
    </w:p>
    <w:p w14:paraId="3ACA838C" w14:textId="77777777" w:rsidR="00907AB3" w:rsidRPr="00A05446" w:rsidRDefault="00907AB3" w:rsidP="00D83355">
      <w:pPr>
        <w:jc w:val="center"/>
        <w:rPr>
          <w:rFonts w:ascii="Calibri Light" w:hAnsi="Calibri Light" w:cs="Calibri Light"/>
          <w:i/>
          <w:iCs/>
          <w:sz w:val="24"/>
          <w:szCs w:val="24"/>
        </w:rPr>
      </w:pPr>
    </w:p>
    <w:p w14:paraId="7557A8D0" w14:textId="412A7C9D" w:rsidR="00956EF5" w:rsidRDefault="00554E57" w:rsidP="008F5276">
      <w:pPr>
        <w:jc w:val="center"/>
        <w:rPr>
          <w:rFonts w:ascii="Calibri Light" w:hAnsi="Calibri Light" w:cs="Calibri Light"/>
          <w:i/>
          <w:iCs/>
          <w:sz w:val="24"/>
          <w:szCs w:val="24"/>
        </w:rPr>
      </w:pPr>
      <w:r w:rsidRPr="00554E57">
        <w:rPr>
          <w:rFonts w:ascii="Calibri Light" w:hAnsi="Calibri Light" w:cs="Calibri Light"/>
          <w:i/>
          <w:iCs/>
          <w:sz w:val="24"/>
          <w:szCs w:val="24"/>
        </w:rPr>
        <w:t>Zbie</w:t>
      </w:r>
      <w:r w:rsidRPr="00554E57">
        <w:rPr>
          <w:rFonts w:ascii="Calibri Light" w:hAnsi="Calibri Light" w:cs="Calibri Light" w:hint="eastAsia"/>
          <w:i/>
          <w:iCs/>
          <w:sz w:val="24"/>
          <w:szCs w:val="24"/>
        </w:rPr>
        <w:t>ż</w:t>
      </w:r>
      <w:r w:rsidRPr="00554E57">
        <w:rPr>
          <w:rFonts w:ascii="Calibri Light" w:hAnsi="Calibri Light" w:cs="Calibri Light"/>
          <w:i/>
          <w:iCs/>
          <w:sz w:val="24"/>
          <w:szCs w:val="24"/>
        </w:rPr>
        <w:t>ne oczekiwania cenowe kupuj</w:t>
      </w:r>
      <w:r w:rsidRPr="00554E57">
        <w:rPr>
          <w:rFonts w:ascii="Calibri Light" w:hAnsi="Calibri Light" w:cs="Calibri Light" w:hint="eastAsia"/>
          <w:i/>
          <w:iCs/>
          <w:sz w:val="24"/>
          <w:szCs w:val="24"/>
        </w:rPr>
        <w:t>ą</w:t>
      </w:r>
      <w:r w:rsidRPr="00554E57">
        <w:rPr>
          <w:rFonts w:ascii="Calibri Light" w:hAnsi="Calibri Light" w:cs="Calibri Light"/>
          <w:i/>
          <w:iCs/>
          <w:sz w:val="24"/>
          <w:szCs w:val="24"/>
        </w:rPr>
        <w:t>cych i sprzedaj</w:t>
      </w:r>
      <w:r w:rsidRPr="00554E57">
        <w:rPr>
          <w:rFonts w:ascii="Calibri Light" w:hAnsi="Calibri Light" w:cs="Calibri Light" w:hint="eastAsia"/>
          <w:i/>
          <w:iCs/>
          <w:sz w:val="24"/>
          <w:szCs w:val="24"/>
        </w:rPr>
        <w:t>ą</w:t>
      </w:r>
      <w:r w:rsidRPr="00554E57">
        <w:rPr>
          <w:rFonts w:ascii="Calibri Light" w:hAnsi="Calibri Light" w:cs="Calibri Light"/>
          <w:i/>
          <w:iCs/>
          <w:sz w:val="24"/>
          <w:szCs w:val="24"/>
        </w:rPr>
        <w:t>cych nap</w:t>
      </w:r>
      <w:r w:rsidRPr="00554E57">
        <w:rPr>
          <w:rFonts w:ascii="Calibri Light" w:hAnsi="Calibri Light" w:cs="Calibri Light" w:hint="eastAsia"/>
          <w:i/>
          <w:iCs/>
          <w:sz w:val="24"/>
          <w:szCs w:val="24"/>
        </w:rPr>
        <w:t>ę</w:t>
      </w:r>
      <w:r w:rsidRPr="00554E57">
        <w:rPr>
          <w:rFonts w:ascii="Calibri Light" w:hAnsi="Calibri Light" w:cs="Calibri Light"/>
          <w:i/>
          <w:iCs/>
          <w:sz w:val="24"/>
          <w:szCs w:val="24"/>
        </w:rPr>
        <w:t>dzaj</w:t>
      </w:r>
      <w:r w:rsidRPr="00554E57">
        <w:rPr>
          <w:rFonts w:ascii="Calibri Light" w:hAnsi="Calibri Light" w:cs="Calibri Light" w:hint="eastAsia"/>
          <w:i/>
          <w:iCs/>
          <w:sz w:val="24"/>
          <w:szCs w:val="24"/>
        </w:rPr>
        <w:t>ą</w:t>
      </w:r>
      <w:r w:rsidRPr="00554E57">
        <w:rPr>
          <w:rFonts w:ascii="Calibri Light" w:hAnsi="Calibri Light" w:cs="Calibri Light"/>
          <w:i/>
          <w:iCs/>
          <w:sz w:val="24"/>
          <w:szCs w:val="24"/>
        </w:rPr>
        <w:t xml:space="preserve"> optymizm w sektorze PE</w:t>
      </w:r>
    </w:p>
    <w:p w14:paraId="2C8AFFFB" w14:textId="77777777" w:rsidR="00554E57" w:rsidRPr="00572CA8" w:rsidRDefault="00554E57" w:rsidP="00572CA8">
      <w:pPr>
        <w:rPr>
          <w:rFonts w:ascii="Calibri Light" w:hAnsi="Calibri Light" w:cs="Calibri Light"/>
          <w:i/>
          <w:iCs/>
          <w:sz w:val="24"/>
          <w:szCs w:val="24"/>
        </w:rPr>
      </w:pPr>
    </w:p>
    <w:p w14:paraId="3B4E484D" w14:textId="60904474" w:rsidR="00691DC6" w:rsidRDefault="00B90A90" w:rsidP="00D633B3">
      <w:pPr>
        <w:rPr>
          <w:rFonts w:ascii="Calibri Light" w:hAnsi="Calibri Light" w:cs="Calibri Light"/>
          <w:b/>
          <w:bCs/>
          <w:color w:val="000000" w:themeColor="text1"/>
          <w:sz w:val="22"/>
          <w:szCs w:val="22"/>
        </w:rPr>
      </w:pPr>
      <w:r w:rsidRPr="2BB012FE">
        <w:rPr>
          <w:rFonts w:ascii="Calibri Light" w:hAnsi="Calibri Light" w:cs="Calibri Light"/>
          <w:b/>
          <w:bCs/>
          <w:color w:val="000000" w:themeColor="text1"/>
          <w:sz w:val="22"/>
          <w:szCs w:val="22"/>
        </w:rPr>
        <w:t>Warszawa,</w:t>
      </w:r>
      <w:r w:rsidR="00253135">
        <w:rPr>
          <w:rFonts w:ascii="Calibri Light" w:hAnsi="Calibri Light" w:cs="Calibri Light"/>
          <w:b/>
          <w:bCs/>
          <w:color w:val="000000" w:themeColor="text1"/>
          <w:sz w:val="22"/>
          <w:szCs w:val="22"/>
        </w:rPr>
        <w:t xml:space="preserve"> </w:t>
      </w:r>
      <w:r w:rsidR="00A10751">
        <w:rPr>
          <w:rFonts w:ascii="Calibri Light" w:hAnsi="Calibri Light" w:cs="Calibri Light"/>
          <w:b/>
          <w:bCs/>
          <w:color w:val="000000" w:themeColor="text1"/>
          <w:sz w:val="22"/>
          <w:szCs w:val="22"/>
        </w:rPr>
        <w:t>4 lutego</w:t>
      </w:r>
      <w:r w:rsidRPr="004D1CBD">
        <w:rPr>
          <w:rFonts w:ascii="Calibri Light" w:hAnsi="Calibri Light" w:cs="Calibri Light"/>
          <w:b/>
          <w:bCs/>
          <w:color w:val="000000" w:themeColor="text1"/>
          <w:sz w:val="22"/>
          <w:szCs w:val="22"/>
        </w:rPr>
        <w:t xml:space="preserve"> 202</w:t>
      </w:r>
      <w:r w:rsidR="00A10751">
        <w:rPr>
          <w:rFonts w:ascii="Calibri Light" w:hAnsi="Calibri Light" w:cs="Calibri Light"/>
          <w:b/>
          <w:bCs/>
          <w:color w:val="000000" w:themeColor="text1"/>
          <w:sz w:val="22"/>
          <w:szCs w:val="22"/>
        </w:rPr>
        <w:t>6</w:t>
      </w:r>
      <w:r w:rsidRPr="004D1CBD">
        <w:rPr>
          <w:rFonts w:ascii="Calibri Light" w:hAnsi="Calibri Light" w:cs="Calibri Light"/>
          <w:b/>
          <w:bCs/>
          <w:color w:val="000000" w:themeColor="text1"/>
          <w:sz w:val="22"/>
          <w:szCs w:val="22"/>
        </w:rPr>
        <w:t xml:space="preserve"> r.</w:t>
      </w:r>
      <w:r w:rsidRPr="2BB012FE">
        <w:rPr>
          <w:rFonts w:ascii="Calibri Light" w:hAnsi="Calibri Light" w:cs="Calibri Light"/>
          <w:b/>
          <w:bCs/>
          <w:color w:val="000000" w:themeColor="text1"/>
          <w:sz w:val="22"/>
          <w:szCs w:val="22"/>
        </w:rPr>
        <w:t xml:space="preserve"> </w:t>
      </w:r>
      <w:bookmarkStart w:id="0" w:name="_Hlk187325298"/>
      <w:r w:rsidRPr="2BB012FE">
        <w:rPr>
          <w:rFonts w:ascii="Calibri Light" w:hAnsi="Calibri Light" w:cs="Calibri Light"/>
          <w:b/>
          <w:bCs/>
          <w:color w:val="000000" w:themeColor="text1"/>
          <w:sz w:val="22"/>
          <w:szCs w:val="22"/>
        </w:rPr>
        <w:t>–</w:t>
      </w:r>
      <w:bookmarkEnd w:id="0"/>
      <w:r w:rsidR="003E1BA5">
        <w:rPr>
          <w:rFonts w:ascii="Calibri Light" w:hAnsi="Calibri Light" w:cs="Calibri Light"/>
          <w:b/>
          <w:bCs/>
          <w:color w:val="000000" w:themeColor="text1"/>
          <w:sz w:val="22"/>
          <w:szCs w:val="22"/>
        </w:rPr>
        <w:t xml:space="preserve"> </w:t>
      </w:r>
      <w:r w:rsidR="003E1BA5" w:rsidRPr="003E1BA5">
        <w:rPr>
          <w:rFonts w:ascii="Calibri Light" w:hAnsi="Calibri Light" w:cs="Calibri Light"/>
          <w:b/>
          <w:bCs/>
          <w:color w:val="000000" w:themeColor="text1"/>
          <w:sz w:val="22"/>
          <w:szCs w:val="22"/>
        </w:rPr>
        <w:t xml:space="preserve">Rynek </w:t>
      </w:r>
      <w:proofErr w:type="spellStart"/>
      <w:r w:rsidR="003E1BA5" w:rsidRPr="003E1BA5">
        <w:rPr>
          <w:rFonts w:ascii="Calibri Light" w:hAnsi="Calibri Light" w:cs="Calibri Light"/>
          <w:b/>
          <w:bCs/>
          <w:color w:val="000000" w:themeColor="text1"/>
          <w:sz w:val="22"/>
          <w:szCs w:val="22"/>
        </w:rPr>
        <w:t>private</w:t>
      </w:r>
      <w:proofErr w:type="spellEnd"/>
      <w:r w:rsidR="003E1BA5" w:rsidRPr="003E1BA5">
        <w:rPr>
          <w:rFonts w:ascii="Calibri Light" w:hAnsi="Calibri Light" w:cs="Calibri Light"/>
          <w:b/>
          <w:bCs/>
          <w:color w:val="000000" w:themeColor="text1"/>
          <w:sz w:val="22"/>
          <w:szCs w:val="22"/>
        </w:rPr>
        <w:t xml:space="preserve"> equity w Europie Środkowej wykazuje odporność na globalną niepewność, wchodząc w nowy cykl z silnymi fundamentami. Jak wynika z najnowszej edycji raportu „</w:t>
      </w:r>
      <w:hyperlink r:id="rId13" w:history="1">
        <w:r w:rsidR="003E1BA5" w:rsidRPr="00490D00">
          <w:rPr>
            <w:rStyle w:val="Hipercze"/>
            <w:rFonts w:ascii="Calibri Light" w:hAnsi="Calibri Light" w:cs="Calibri Light"/>
            <w:b/>
            <w:bCs/>
            <w:sz w:val="22"/>
            <w:szCs w:val="22"/>
          </w:rPr>
          <w:t xml:space="preserve">Central Europe </w:t>
        </w:r>
        <w:proofErr w:type="spellStart"/>
        <w:r w:rsidR="003E1BA5" w:rsidRPr="00490D00">
          <w:rPr>
            <w:rStyle w:val="Hipercze"/>
            <w:rFonts w:ascii="Calibri Light" w:hAnsi="Calibri Light" w:cs="Calibri Light"/>
            <w:b/>
            <w:bCs/>
            <w:sz w:val="22"/>
            <w:szCs w:val="22"/>
          </w:rPr>
          <w:t>Private</w:t>
        </w:r>
        <w:proofErr w:type="spellEnd"/>
        <w:r w:rsidR="003E1BA5" w:rsidRPr="00490D00">
          <w:rPr>
            <w:rStyle w:val="Hipercze"/>
            <w:rFonts w:ascii="Calibri Light" w:hAnsi="Calibri Light" w:cs="Calibri Light"/>
            <w:b/>
            <w:bCs/>
            <w:sz w:val="22"/>
            <w:szCs w:val="22"/>
          </w:rPr>
          <w:t xml:space="preserve"> Equity </w:t>
        </w:r>
        <w:proofErr w:type="spellStart"/>
        <w:r w:rsidR="003E1BA5" w:rsidRPr="00490D00">
          <w:rPr>
            <w:rStyle w:val="Hipercze"/>
            <w:rFonts w:ascii="Calibri Light" w:hAnsi="Calibri Light" w:cs="Calibri Light"/>
            <w:b/>
            <w:bCs/>
            <w:sz w:val="22"/>
            <w:szCs w:val="22"/>
          </w:rPr>
          <w:t>Confidence</w:t>
        </w:r>
        <w:proofErr w:type="spellEnd"/>
        <w:r w:rsidR="003E1BA5" w:rsidRPr="00490D00">
          <w:rPr>
            <w:rStyle w:val="Hipercze"/>
            <w:rFonts w:ascii="Calibri Light" w:hAnsi="Calibri Light" w:cs="Calibri Light"/>
            <w:b/>
            <w:bCs/>
            <w:sz w:val="22"/>
            <w:szCs w:val="22"/>
          </w:rPr>
          <w:t xml:space="preserve"> </w:t>
        </w:r>
        <w:proofErr w:type="spellStart"/>
        <w:r w:rsidR="003E1BA5" w:rsidRPr="00490D00">
          <w:rPr>
            <w:rStyle w:val="Hipercze"/>
            <w:rFonts w:ascii="Calibri Light" w:hAnsi="Calibri Light" w:cs="Calibri Light"/>
            <w:b/>
            <w:bCs/>
            <w:sz w:val="22"/>
            <w:szCs w:val="22"/>
          </w:rPr>
          <w:t>Survey</w:t>
        </w:r>
        <w:proofErr w:type="spellEnd"/>
      </w:hyperlink>
      <w:r w:rsidR="003E1BA5" w:rsidRPr="003E1BA5">
        <w:rPr>
          <w:rFonts w:ascii="Calibri Light" w:hAnsi="Calibri Light" w:cs="Calibri Light"/>
          <w:b/>
          <w:bCs/>
          <w:color w:val="000000" w:themeColor="text1"/>
          <w:sz w:val="22"/>
          <w:szCs w:val="22"/>
        </w:rPr>
        <w:t>” przygotowanego przez firmę doradczą Deloitte, prognozy dotyczące ożywienia transakcyjnego są obecnie dwukrotnie wyższe niż w poprzednim półroczu.</w:t>
      </w:r>
      <w:r w:rsidR="003220DB">
        <w:rPr>
          <w:rFonts w:ascii="Calibri Light" w:hAnsi="Calibri Light" w:cs="Calibri Light"/>
          <w:b/>
          <w:bCs/>
          <w:color w:val="000000" w:themeColor="text1"/>
          <w:sz w:val="22"/>
          <w:szCs w:val="22"/>
        </w:rPr>
        <w:t xml:space="preserve"> </w:t>
      </w:r>
      <w:r w:rsidR="00691DC6" w:rsidRPr="00691DC6">
        <w:rPr>
          <w:rFonts w:ascii="Calibri Light" w:hAnsi="Calibri Light" w:cs="Calibri Light"/>
          <w:b/>
          <w:bCs/>
          <w:color w:val="000000" w:themeColor="text1"/>
          <w:sz w:val="22"/>
          <w:szCs w:val="22"/>
        </w:rPr>
        <w:t>Pozytywne nastroje wspiera najwyższ</w:t>
      </w:r>
      <w:r w:rsidR="008D00B3">
        <w:rPr>
          <w:rFonts w:ascii="Calibri Light" w:hAnsi="Calibri Light" w:cs="Calibri Light"/>
          <w:b/>
          <w:bCs/>
          <w:color w:val="000000" w:themeColor="text1"/>
          <w:sz w:val="22"/>
          <w:szCs w:val="22"/>
        </w:rPr>
        <w:t>e</w:t>
      </w:r>
      <w:r w:rsidR="00691DC6" w:rsidRPr="00691DC6">
        <w:rPr>
          <w:rFonts w:ascii="Calibri Light" w:hAnsi="Calibri Light" w:cs="Calibri Light"/>
          <w:b/>
          <w:bCs/>
          <w:color w:val="000000" w:themeColor="text1"/>
          <w:sz w:val="22"/>
          <w:szCs w:val="22"/>
        </w:rPr>
        <w:t xml:space="preserve"> od trzech edycji </w:t>
      </w:r>
      <w:r w:rsidR="008D00B3">
        <w:rPr>
          <w:rFonts w:ascii="Calibri Light" w:hAnsi="Calibri Light" w:cs="Calibri Light"/>
          <w:b/>
          <w:bCs/>
          <w:color w:val="000000" w:themeColor="text1"/>
          <w:sz w:val="22"/>
          <w:szCs w:val="22"/>
        </w:rPr>
        <w:t>przekonanie</w:t>
      </w:r>
      <w:r w:rsidR="00691DC6" w:rsidRPr="00691DC6">
        <w:rPr>
          <w:rFonts w:ascii="Calibri Light" w:hAnsi="Calibri Light" w:cs="Calibri Light"/>
          <w:b/>
          <w:bCs/>
          <w:color w:val="000000" w:themeColor="text1"/>
          <w:sz w:val="22"/>
          <w:szCs w:val="22"/>
        </w:rPr>
        <w:t xml:space="preserve"> </w:t>
      </w:r>
      <w:r w:rsidR="00B2022A">
        <w:rPr>
          <w:rFonts w:ascii="Calibri Light" w:hAnsi="Calibri Light" w:cs="Calibri Light"/>
          <w:b/>
          <w:bCs/>
          <w:color w:val="000000" w:themeColor="text1"/>
          <w:sz w:val="22"/>
          <w:szCs w:val="22"/>
        </w:rPr>
        <w:t>o</w:t>
      </w:r>
      <w:r w:rsidR="00691DC6" w:rsidRPr="00691DC6">
        <w:rPr>
          <w:rFonts w:ascii="Calibri Light" w:hAnsi="Calibri Light" w:cs="Calibri Light"/>
          <w:b/>
          <w:bCs/>
          <w:color w:val="000000" w:themeColor="text1"/>
          <w:sz w:val="22"/>
          <w:szCs w:val="22"/>
        </w:rPr>
        <w:t xml:space="preserve"> dostępnoś</w:t>
      </w:r>
      <w:r w:rsidR="00B2022A">
        <w:rPr>
          <w:rFonts w:ascii="Calibri Light" w:hAnsi="Calibri Light" w:cs="Calibri Light"/>
          <w:b/>
          <w:bCs/>
          <w:color w:val="000000" w:themeColor="text1"/>
          <w:sz w:val="22"/>
          <w:szCs w:val="22"/>
        </w:rPr>
        <w:t>ci</w:t>
      </w:r>
      <w:r w:rsidR="00691DC6" w:rsidRPr="00691DC6">
        <w:rPr>
          <w:rFonts w:ascii="Calibri Light" w:hAnsi="Calibri Light" w:cs="Calibri Light"/>
          <w:b/>
          <w:bCs/>
          <w:color w:val="000000" w:themeColor="text1"/>
          <w:sz w:val="22"/>
          <w:szCs w:val="22"/>
        </w:rPr>
        <w:t xml:space="preserve"> finansowania dłużnego (51 proc. wskazań) oraz </w:t>
      </w:r>
      <w:r w:rsidR="00CA3D9C">
        <w:rPr>
          <w:rFonts w:ascii="Calibri Light" w:hAnsi="Calibri Light" w:cs="Calibri Light"/>
          <w:b/>
          <w:bCs/>
          <w:color w:val="000000" w:themeColor="text1"/>
          <w:sz w:val="22"/>
          <w:szCs w:val="22"/>
        </w:rPr>
        <w:t xml:space="preserve">większy optymizm co do </w:t>
      </w:r>
      <w:r w:rsidR="00691DC6" w:rsidRPr="00691DC6">
        <w:rPr>
          <w:rFonts w:ascii="Calibri Light" w:hAnsi="Calibri Light" w:cs="Calibri Light"/>
          <w:b/>
          <w:bCs/>
          <w:color w:val="000000" w:themeColor="text1"/>
          <w:sz w:val="22"/>
          <w:szCs w:val="22"/>
        </w:rPr>
        <w:t>rentowności portfeli</w:t>
      </w:r>
      <w:r w:rsidR="00CA3D9C">
        <w:rPr>
          <w:rFonts w:ascii="Calibri Light" w:hAnsi="Calibri Light" w:cs="Calibri Light"/>
          <w:b/>
          <w:bCs/>
          <w:color w:val="000000" w:themeColor="text1"/>
          <w:sz w:val="22"/>
          <w:szCs w:val="22"/>
        </w:rPr>
        <w:t xml:space="preserve"> funduszy</w:t>
      </w:r>
      <w:r w:rsidR="00691DC6" w:rsidRPr="00691DC6">
        <w:rPr>
          <w:rFonts w:ascii="Calibri Light" w:hAnsi="Calibri Light" w:cs="Calibri Light"/>
          <w:b/>
          <w:bCs/>
          <w:color w:val="000000" w:themeColor="text1"/>
          <w:sz w:val="22"/>
          <w:szCs w:val="22"/>
        </w:rPr>
        <w:t xml:space="preserve"> – poprawy zwrotu z inwestycji spodziewa się już ponad połowa badanych.</w:t>
      </w:r>
    </w:p>
    <w:p w14:paraId="4EF2BD51" w14:textId="77777777" w:rsidR="00691DC6" w:rsidRDefault="00691DC6" w:rsidP="00C915FB">
      <w:pPr>
        <w:tabs>
          <w:tab w:val="clear" w:pos="284"/>
          <w:tab w:val="clear" w:pos="567"/>
          <w:tab w:val="clear" w:pos="851"/>
          <w:tab w:val="clear" w:pos="1985"/>
          <w:tab w:val="clear" w:pos="4253"/>
          <w:tab w:val="clear" w:pos="7655"/>
        </w:tabs>
        <w:rPr>
          <w:rFonts w:ascii="Calibri Light" w:hAnsi="Calibri Light" w:cs="Calibri Light"/>
          <w:b/>
          <w:bCs/>
          <w:color w:val="000000" w:themeColor="text1"/>
          <w:sz w:val="22"/>
          <w:szCs w:val="22"/>
        </w:rPr>
      </w:pPr>
    </w:p>
    <w:p w14:paraId="1313BC21" w14:textId="0C2A77A6" w:rsidR="009D104E" w:rsidRDefault="009D104E" w:rsidP="00572CA8">
      <w:pPr>
        <w:spacing w:after="120" w:line="240" w:lineRule="auto"/>
        <w:rPr>
          <w:rFonts w:ascii="Calibri Light" w:hAnsi="Calibri Light" w:cs="Calibri Light"/>
          <w:color w:val="000000" w:themeColor="text1"/>
          <w:sz w:val="22"/>
          <w:szCs w:val="22"/>
        </w:rPr>
      </w:pPr>
      <w:r w:rsidRPr="009D104E">
        <w:rPr>
          <w:rFonts w:ascii="Calibri Light" w:hAnsi="Calibri Light" w:cs="Calibri Light"/>
          <w:color w:val="000000" w:themeColor="text1"/>
          <w:sz w:val="22"/>
          <w:szCs w:val="22"/>
        </w:rPr>
        <w:t xml:space="preserve">Indeks Zaufania Deloitte, publikowany od ponad 20 lat jako barometr nastrojów inwestorów </w:t>
      </w:r>
      <w:proofErr w:type="spellStart"/>
      <w:r w:rsidRPr="009D104E">
        <w:rPr>
          <w:rFonts w:ascii="Calibri Light" w:hAnsi="Calibri Light" w:cs="Calibri Light"/>
          <w:color w:val="000000" w:themeColor="text1"/>
          <w:sz w:val="22"/>
          <w:szCs w:val="22"/>
        </w:rPr>
        <w:t>private</w:t>
      </w:r>
      <w:proofErr w:type="spellEnd"/>
      <w:r w:rsidRPr="009D104E">
        <w:rPr>
          <w:rFonts w:ascii="Calibri Light" w:hAnsi="Calibri Light" w:cs="Calibri Light"/>
          <w:color w:val="000000" w:themeColor="text1"/>
          <w:sz w:val="22"/>
          <w:szCs w:val="22"/>
        </w:rPr>
        <w:t xml:space="preserve"> equity w Europie Środkowej, w </w:t>
      </w:r>
      <w:r w:rsidR="00CA3D9C">
        <w:rPr>
          <w:rFonts w:ascii="Calibri Light" w:hAnsi="Calibri Light" w:cs="Calibri Light"/>
          <w:color w:val="000000" w:themeColor="text1"/>
          <w:sz w:val="22"/>
          <w:szCs w:val="22"/>
        </w:rPr>
        <w:t xml:space="preserve">najnowszej </w:t>
      </w:r>
      <w:r w:rsidRPr="009D104E">
        <w:rPr>
          <w:rFonts w:ascii="Calibri Light" w:hAnsi="Calibri Light" w:cs="Calibri Light"/>
          <w:color w:val="000000" w:themeColor="text1"/>
          <w:sz w:val="22"/>
          <w:szCs w:val="22"/>
        </w:rPr>
        <w:t xml:space="preserve">zimowej edycji osiągnął poziom 135 punktów. To wynik znacząco przewyższający średnią historyczną (116 pkt) i </w:t>
      </w:r>
      <w:r w:rsidR="00A1003D">
        <w:rPr>
          <w:rFonts w:ascii="Calibri Light" w:hAnsi="Calibri Light" w:cs="Calibri Light"/>
          <w:color w:val="000000" w:themeColor="text1"/>
          <w:sz w:val="22"/>
          <w:szCs w:val="22"/>
        </w:rPr>
        <w:t xml:space="preserve">stanowi </w:t>
      </w:r>
      <w:r w:rsidRPr="009D104E">
        <w:rPr>
          <w:rFonts w:ascii="Calibri Light" w:hAnsi="Calibri Light" w:cs="Calibri Light"/>
          <w:color w:val="000000" w:themeColor="text1"/>
          <w:sz w:val="22"/>
          <w:szCs w:val="22"/>
        </w:rPr>
        <w:t>najwyższy odczyt od trzech edycji badania. Wzrost ten sygnalizuje</w:t>
      </w:r>
      <w:r w:rsidR="00CA3D9C">
        <w:rPr>
          <w:rFonts w:ascii="Calibri Light" w:hAnsi="Calibri Light" w:cs="Calibri Light"/>
          <w:color w:val="000000" w:themeColor="text1"/>
          <w:sz w:val="22"/>
          <w:szCs w:val="22"/>
        </w:rPr>
        <w:t xml:space="preserve"> otwarcie fazy</w:t>
      </w:r>
      <w:r w:rsidRPr="009D104E">
        <w:rPr>
          <w:rFonts w:ascii="Calibri Light" w:hAnsi="Calibri Light" w:cs="Calibri Light"/>
          <w:color w:val="000000" w:themeColor="text1"/>
          <w:sz w:val="22"/>
          <w:szCs w:val="22"/>
        </w:rPr>
        <w:t xml:space="preserve"> dojrzałego optymizmu</w:t>
      </w:r>
      <w:r w:rsidR="00CA3D9C">
        <w:rPr>
          <w:rFonts w:ascii="Calibri Light" w:hAnsi="Calibri Light" w:cs="Calibri Light"/>
          <w:color w:val="000000" w:themeColor="text1"/>
          <w:sz w:val="22"/>
          <w:szCs w:val="22"/>
        </w:rPr>
        <w:t xml:space="preserve"> oraz przygotowania do zwiększenia aktywności pomimo </w:t>
      </w:r>
      <w:r w:rsidR="00B2022A">
        <w:rPr>
          <w:rFonts w:ascii="Calibri Light" w:hAnsi="Calibri Light" w:cs="Calibri Light"/>
          <w:color w:val="000000" w:themeColor="text1"/>
          <w:sz w:val="22"/>
          <w:szCs w:val="22"/>
        </w:rPr>
        <w:t>stałej</w:t>
      </w:r>
      <w:r w:rsidRPr="009D104E">
        <w:rPr>
          <w:rFonts w:ascii="Calibri Light" w:hAnsi="Calibri Light" w:cs="Calibri Light"/>
          <w:color w:val="000000" w:themeColor="text1"/>
          <w:sz w:val="22"/>
          <w:szCs w:val="22"/>
        </w:rPr>
        <w:t xml:space="preserve"> zmienności geopolitycznej.</w:t>
      </w:r>
    </w:p>
    <w:p w14:paraId="1F199BB9" w14:textId="5D92F7C5" w:rsidR="00900AB7" w:rsidRPr="00E04C08" w:rsidRDefault="00844BBA" w:rsidP="00572CA8">
      <w:pPr>
        <w:spacing w:after="120" w:line="240" w:lineRule="auto"/>
        <w:rPr>
          <w:rFonts w:ascii="Calibri Light" w:hAnsi="Calibri Light" w:cs="Calibri Light"/>
          <w:i/>
          <w:iCs/>
          <w:color w:val="000000" w:themeColor="text1"/>
          <w:sz w:val="22"/>
          <w:szCs w:val="22"/>
        </w:rPr>
      </w:pPr>
      <w:r w:rsidRPr="00844BBA">
        <w:rPr>
          <w:rFonts w:ascii="Calibri Light" w:hAnsi="Calibri Light" w:cs="Calibri Light"/>
          <w:color w:val="000000" w:themeColor="text1"/>
          <w:sz w:val="22"/>
          <w:szCs w:val="22"/>
        </w:rPr>
        <w:t>–</w:t>
      </w:r>
      <w:r w:rsidR="00030715">
        <w:rPr>
          <w:rFonts w:ascii="Calibri Light" w:hAnsi="Calibri Light" w:cs="Calibri Light"/>
          <w:color w:val="000000" w:themeColor="text1"/>
          <w:sz w:val="22"/>
          <w:szCs w:val="22"/>
        </w:rPr>
        <w:t xml:space="preserve"> </w:t>
      </w:r>
      <w:r w:rsidR="00030715" w:rsidRPr="00D633B3">
        <w:rPr>
          <w:rFonts w:ascii="Calibri Light" w:hAnsi="Calibri Light" w:cs="Calibri Light"/>
          <w:i/>
          <w:iCs/>
          <w:color w:val="000000" w:themeColor="text1"/>
          <w:sz w:val="22"/>
          <w:szCs w:val="22"/>
        </w:rPr>
        <w:t xml:space="preserve">Tak wyraźne odbicie indeksu potwierdza, że rynek </w:t>
      </w:r>
      <w:proofErr w:type="spellStart"/>
      <w:r w:rsidR="00030715" w:rsidRPr="00D633B3">
        <w:rPr>
          <w:rFonts w:ascii="Calibri Light" w:hAnsi="Calibri Light" w:cs="Calibri Light"/>
          <w:i/>
          <w:iCs/>
          <w:color w:val="000000" w:themeColor="text1"/>
          <w:sz w:val="22"/>
          <w:szCs w:val="22"/>
        </w:rPr>
        <w:t>private</w:t>
      </w:r>
      <w:proofErr w:type="spellEnd"/>
      <w:r w:rsidR="00030715" w:rsidRPr="00D633B3">
        <w:rPr>
          <w:rFonts w:ascii="Calibri Light" w:hAnsi="Calibri Light" w:cs="Calibri Light"/>
          <w:i/>
          <w:iCs/>
          <w:color w:val="000000" w:themeColor="text1"/>
          <w:sz w:val="22"/>
          <w:szCs w:val="22"/>
        </w:rPr>
        <w:t xml:space="preserve"> equity w regionie </w:t>
      </w:r>
      <w:r w:rsidR="00F42B7A">
        <w:rPr>
          <w:rFonts w:ascii="Calibri Light" w:hAnsi="Calibri Light" w:cs="Calibri Light"/>
          <w:i/>
          <w:iCs/>
          <w:color w:val="000000" w:themeColor="text1"/>
          <w:sz w:val="22"/>
          <w:szCs w:val="22"/>
        </w:rPr>
        <w:t xml:space="preserve">jest gotowy na zwiększenie </w:t>
      </w:r>
      <w:r w:rsidR="00030715" w:rsidRPr="00D633B3">
        <w:rPr>
          <w:rFonts w:ascii="Calibri Light" w:hAnsi="Calibri Light" w:cs="Calibri Light"/>
          <w:i/>
          <w:iCs/>
          <w:color w:val="000000" w:themeColor="text1"/>
          <w:sz w:val="22"/>
          <w:szCs w:val="22"/>
        </w:rPr>
        <w:t>dynamik</w:t>
      </w:r>
      <w:r w:rsidR="00F42B7A">
        <w:rPr>
          <w:rFonts w:ascii="Calibri Light" w:hAnsi="Calibri Light" w:cs="Calibri Light"/>
          <w:i/>
          <w:iCs/>
          <w:color w:val="000000" w:themeColor="text1"/>
          <w:sz w:val="22"/>
          <w:szCs w:val="22"/>
        </w:rPr>
        <w:t>i</w:t>
      </w:r>
      <w:r w:rsidR="00030715" w:rsidRPr="00D633B3">
        <w:rPr>
          <w:rFonts w:ascii="Calibri Light" w:hAnsi="Calibri Light" w:cs="Calibri Light"/>
          <w:i/>
          <w:iCs/>
          <w:color w:val="000000" w:themeColor="text1"/>
          <w:sz w:val="22"/>
          <w:szCs w:val="22"/>
        </w:rPr>
        <w:t xml:space="preserve">. </w:t>
      </w:r>
      <w:r w:rsidR="00E04C08">
        <w:rPr>
          <w:rFonts w:ascii="Calibri Light" w:hAnsi="Calibri Light" w:cs="Calibri Light"/>
          <w:i/>
          <w:iCs/>
          <w:color w:val="000000" w:themeColor="text1"/>
          <w:sz w:val="22"/>
          <w:szCs w:val="22"/>
        </w:rPr>
        <w:t>Te p</w:t>
      </w:r>
      <w:r w:rsidR="00030715" w:rsidRPr="00D633B3">
        <w:rPr>
          <w:rFonts w:ascii="Calibri Light" w:hAnsi="Calibri Light" w:cs="Calibri Light"/>
          <w:i/>
          <w:iCs/>
          <w:color w:val="000000" w:themeColor="text1"/>
          <w:sz w:val="22"/>
          <w:szCs w:val="22"/>
        </w:rPr>
        <w:t>ozytywne nastroje opierają się na konkretnych przewidywaniach</w:t>
      </w:r>
      <w:r w:rsidR="00E04C08">
        <w:rPr>
          <w:rFonts w:ascii="Calibri Light" w:hAnsi="Calibri Light" w:cs="Calibri Light"/>
          <w:i/>
          <w:iCs/>
          <w:color w:val="000000" w:themeColor="text1"/>
          <w:sz w:val="22"/>
          <w:szCs w:val="22"/>
        </w:rPr>
        <w:t xml:space="preserve"> –</w:t>
      </w:r>
      <w:r w:rsidR="00030715" w:rsidRPr="00D633B3">
        <w:rPr>
          <w:rFonts w:ascii="Calibri Light" w:hAnsi="Calibri Light" w:cs="Calibri Light"/>
          <w:i/>
          <w:iCs/>
          <w:color w:val="000000" w:themeColor="text1"/>
          <w:sz w:val="22"/>
          <w:szCs w:val="22"/>
        </w:rPr>
        <w:t xml:space="preserve"> blisko połowa badanych</w:t>
      </w:r>
      <w:r w:rsidR="00E04C08">
        <w:rPr>
          <w:rFonts w:ascii="Calibri Light" w:hAnsi="Calibri Light" w:cs="Calibri Light"/>
          <w:i/>
          <w:iCs/>
          <w:color w:val="000000" w:themeColor="text1"/>
          <w:sz w:val="22"/>
          <w:szCs w:val="22"/>
        </w:rPr>
        <w:t xml:space="preserve"> inwestorów</w:t>
      </w:r>
      <w:r w:rsidR="00030715" w:rsidRPr="00D633B3">
        <w:rPr>
          <w:rFonts w:ascii="Calibri Light" w:hAnsi="Calibri Light" w:cs="Calibri Light"/>
          <w:i/>
          <w:iCs/>
          <w:color w:val="000000" w:themeColor="text1"/>
          <w:sz w:val="22"/>
          <w:szCs w:val="22"/>
        </w:rPr>
        <w:t xml:space="preserve"> (46 proc.) spodziewa się poprawy kondycji gospodarki, a kolejne 40 proc. zakłada jej stabilizację.</w:t>
      </w:r>
      <w:r w:rsidR="00CA3D9C">
        <w:rPr>
          <w:rFonts w:ascii="Calibri Light" w:hAnsi="Calibri Light" w:cs="Calibri Light"/>
          <w:i/>
          <w:iCs/>
          <w:color w:val="000000" w:themeColor="text1"/>
          <w:sz w:val="22"/>
          <w:szCs w:val="22"/>
        </w:rPr>
        <w:t xml:space="preserve"> Łącznie, stanowi to bardzo optymistyczny obraz makroekonomiczny.</w:t>
      </w:r>
      <w:r w:rsidR="00030715" w:rsidRPr="00D633B3">
        <w:rPr>
          <w:rFonts w:ascii="Calibri Light" w:hAnsi="Calibri Light" w:cs="Calibri Light"/>
          <w:i/>
          <w:iCs/>
          <w:color w:val="000000" w:themeColor="text1"/>
          <w:sz w:val="22"/>
          <w:szCs w:val="22"/>
        </w:rPr>
        <w:t xml:space="preserve"> Dowodem na tę pewność siebie jest zjawisko „odwróconej globalizacji”, czyli coraz częstsze przejmowanie przez firmy z Europy Środkowej podmiotów </w:t>
      </w:r>
      <w:r w:rsidR="00123C45">
        <w:rPr>
          <w:rFonts w:ascii="Calibri Light" w:hAnsi="Calibri Light" w:cs="Calibri Light"/>
          <w:i/>
          <w:iCs/>
          <w:color w:val="000000" w:themeColor="text1"/>
          <w:sz w:val="22"/>
          <w:szCs w:val="22"/>
        </w:rPr>
        <w:t>w zachodniej części kontynentu</w:t>
      </w:r>
      <w:r w:rsidR="00030715" w:rsidRPr="00D633B3">
        <w:rPr>
          <w:rFonts w:ascii="Calibri Light" w:hAnsi="Calibri Light" w:cs="Calibri Light"/>
          <w:i/>
          <w:iCs/>
          <w:color w:val="000000" w:themeColor="text1"/>
          <w:sz w:val="22"/>
          <w:szCs w:val="22"/>
        </w:rPr>
        <w:t>. Dodatkowym czynnikiem stymulującym rynek jest rosnąca rola najbogatszych inwestorów prywatnych (UHNWI),</w:t>
      </w:r>
      <w:r w:rsidR="00CA3D9C">
        <w:rPr>
          <w:rFonts w:ascii="Calibri Light" w:hAnsi="Calibri Light" w:cs="Calibri Light"/>
          <w:i/>
          <w:iCs/>
          <w:color w:val="000000" w:themeColor="text1"/>
          <w:sz w:val="22"/>
          <w:szCs w:val="22"/>
        </w:rPr>
        <w:t xml:space="preserve"> ich udział w inwestycjach zarówno poprzez </w:t>
      </w:r>
      <w:r w:rsidR="00B2022A">
        <w:rPr>
          <w:rFonts w:ascii="Calibri Light" w:hAnsi="Calibri Light" w:cs="Calibri Light"/>
          <w:i/>
          <w:iCs/>
          <w:color w:val="000000" w:themeColor="text1"/>
          <w:sz w:val="22"/>
          <w:szCs w:val="22"/>
        </w:rPr>
        <w:t>f</w:t>
      </w:r>
      <w:r w:rsidR="00CA3D9C">
        <w:rPr>
          <w:rFonts w:ascii="Calibri Light" w:hAnsi="Calibri Light" w:cs="Calibri Light"/>
          <w:i/>
          <w:iCs/>
          <w:color w:val="000000" w:themeColor="text1"/>
          <w:sz w:val="22"/>
          <w:szCs w:val="22"/>
        </w:rPr>
        <w:t xml:space="preserve">amily </w:t>
      </w:r>
      <w:proofErr w:type="spellStart"/>
      <w:r w:rsidR="00B2022A">
        <w:rPr>
          <w:rFonts w:ascii="Calibri Light" w:hAnsi="Calibri Light" w:cs="Calibri Light"/>
          <w:i/>
          <w:iCs/>
          <w:color w:val="000000" w:themeColor="text1"/>
          <w:sz w:val="22"/>
          <w:szCs w:val="22"/>
        </w:rPr>
        <w:t>o</w:t>
      </w:r>
      <w:r w:rsidR="00CA3D9C">
        <w:rPr>
          <w:rFonts w:ascii="Calibri Light" w:hAnsi="Calibri Light" w:cs="Calibri Light"/>
          <w:i/>
          <w:iCs/>
          <w:color w:val="000000" w:themeColor="text1"/>
          <w:sz w:val="22"/>
          <w:szCs w:val="22"/>
        </w:rPr>
        <w:t>ffices</w:t>
      </w:r>
      <w:proofErr w:type="spellEnd"/>
      <w:r w:rsidR="00CA3D9C">
        <w:rPr>
          <w:rFonts w:ascii="Calibri Light" w:hAnsi="Calibri Light" w:cs="Calibri Light"/>
          <w:i/>
          <w:iCs/>
          <w:color w:val="000000" w:themeColor="text1"/>
          <w:sz w:val="22"/>
          <w:szCs w:val="22"/>
        </w:rPr>
        <w:t xml:space="preserve">, dedykowane wehikuły inwestycyjne, jak i zaangażowanie w istniejące fundusze </w:t>
      </w:r>
      <w:proofErr w:type="spellStart"/>
      <w:r w:rsidR="00B2022A">
        <w:rPr>
          <w:rFonts w:ascii="Calibri Light" w:hAnsi="Calibri Light" w:cs="Calibri Light"/>
          <w:i/>
          <w:iCs/>
          <w:color w:val="000000" w:themeColor="text1"/>
          <w:sz w:val="22"/>
          <w:szCs w:val="22"/>
        </w:rPr>
        <w:t>p</w:t>
      </w:r>
      <w:r w:rsidR="00CA3D9C">
        <w:rPr>
          <w:rFonts w:ascii="Calibri Light" w:hAnsi="Calibri Light" w:cs="Calibri Light"/>
          <w:i/>
          <w:iCs/>
          <w:color w:val="000000" w:themeColor="text1"/>
          <w:sz w:val="22"/>
          <w:szCs w:val="22"/>
        </w:rPr>
        <w:t>rivate</w:t>
      </w:r>
      <w:proofErr w:type="spellEnd"/>
      <w:r w:rsidR="00CA3D9C">
        <w:rPr>
          <w:rFonts w:ascii="Calibri Light" w:hAnsi="Calibri Light" w:cs="Calibri Light"/>
          <w:i/>
          <w:iCs/>
          <w:color w:val="000000" w:themeColor="text1"/>
          <w:sz w:val="22"/>
          <w:szCs w:val="22"/>
        </w:rPr>
        <w:t xml:space="preserve"> </w:t>
      </w:r>
      <w:r w:rsidR="00B2022A">
        <w:rPr>
          <w:rFonts w:ascii="Calibri Light" w:hAnsi="Calibri Light" w:cs="Calibri Light"/>
          <w:i/>
          <w:iCs/>
          <w:color w:val="000000" w:themeColor="text1"/>
          <w:sz w:val="22"/>
          <w:szCs w:val="22"/>
        </w:rPr>
        <w:t>e</w:t>
      </w:r>
      <w:r w:rsidR="00CA3D9C">
        <w:rPr>
          <w:rFonts w:ascii="Calibri Light" w:hAnsi="Calibri Light" w:cs="Calibri Light"/>
          <w:i/>
          <w:iCs/>
          <w:color w:val="000000" w:themeColor="text1"/>
          <w:sz w:val="22"/>
          <w:szCs w:val="22"/>
        </w:rPr>
        <w:t>quity. T</w:t>
      </w:r>
      <w:r w:rsidR="00030715" w:rsidRPr="00D633B3">
        <w:rPr>
          <w:rFonts w:ascii="Calibri Light" w:hAnsi="Calibri Light" w:cs="Calibri Light"/>
          <w:i/>
          <w:iCs/>
          <w:color w:val="000000" w:themeColor="text1"/>
          <w:sz w:val="22"/>
          <w:szCs w:val="22"/>
        </w:rPr>
        <w:t xml:space="preserve">o pozwala prognozować wyraźne ożywienie w obszarze fuzji i przejęć w </w:t>
      </w:r>
      <w:r w:rsidR="00CA3D9C">
        <w:rPr>
          <w:rFonts w:ascii="Calibri Light" w:hAnsi="Calibri Light" w:cs="Calibri Light"/>
          <w:i/>
          <w:iCs/>
          <w:color w:val="000000" w:themeColor="text1"/>
          <w:sz w:val="22"/>
          <w:szCs w:val="22"/>
        </w:rPr>
        <w:t>najbliższych kwartałach</w:t>
      </w:r>
      <w:r w:rsidR="00B41F54">
        <w:rPr>
          <w:rFonts w:ascii="Calibri Light" w:hAnsi="Calibri Light" w:cs="Calibri Light"/>
          <w:i/>
          <w:iCs/>
          <w:color w:val="000000" w:themeColor="text1"/>
          <w:sz w:val="22"/>
          <w:szCs w:val="22"/>
        </w:rPr>
        <w:t xml:space="preserve"> </w:t>
      </w:r>
      <w:r w:rsidRPr="00844BBA">
        <w:rPr>
          <w:rFonts w:ascii="Calibri Light" w:hAnsi="Calibri Light" w:cs="Calibri Light"/>
          <w:color w:val="000000" w:themeColor="text1"/>
          <w:sz w:val="22"/>
          <w:szCs w:val="22"/>
        </w:rPr>
        <w:t xml:space="preserve">– mówi </w:t>
      </w:r>
      <w:r w:rsidRPr="00C915FB">
        <w:rPr>
          <w:rFonts w:ascii="Calibri Light" w:hAnsi="Calibri Light" w:cs="Calibri Light"/>
          <w:b/>
          <w:bCs/>
          <w:color w:val="000000" w:themeColor="text1"/>
          <w:sz w:val="22"/>
          <w:szCs w:val="22"/>
        </w:rPr>
        <w:t>Michał Tokarski</w:t>
      </w:r>
      <w:r w:rsidRPr="00844BBA">
        <w:rPr>
          <w:rFonts w:ascii="Calibri Light" w:hAnsi="Calibri Light" w:cs="Calibri Light"/>
          <w:color w:val="000000" w:themeColor="text1"/>
          <w:sz w:val="22"/>
          <w:szCs w:val="22"/>
        </w:rPr>
        <w:t>, partner zarządzający działem Advisory Deloitte w Polsce, lider Zespołu M&amp;A.</w:t>
      </w:r>
    </w:p>
    <w:p w14:paraId="7920A297" w14:textId="307DE502" w:rsidR="005C1132" w:rsidRPr="00D32D20" w:rsidRDefault="005C1132" w:rsidP="00B62444">
      <w:pPr>
        <w:spacing w:after="120" w:line="240" w:lineRule="auto"/>
        <w:rPr>
          <w:rFonts w:ascii="Calibri Light" w:hAnsi="Calibri Light" w:cs="Calibri Light"/>
          <w:b/>
          <w:bCs/>
          <w:color w:val="000000" w:themeColor="text1"/>
          <w:sz w:val="22"/>
          <w:szCs w:val="22"/>
        </w:rPr>
      </w:pPr>
      <w:r w:rsidRPr="00D32D20">
        <w:rPr>
          <w:rFonts w:ascii="Calibri Light" w:hAnsi="Calibri Light" w:cs="Calibri Light"/>
          <w:b/>
          <w:bCs/>
          <w:color w:val="000000" w:themeColor="text1"/>
          <w:sz w:val="22"/>
          <w:szCs w:val="22"/>
        </w:rPr>
        <w:t xml:space="preserve">Większa dostępność </w:t>
      </w:r>
      <w:r w:rsidR="008D00B3" w:rsidRPr="00D32D20">
        <w:rPr>
          <w:rFonts w:ascii="Calibri Light" w:hAnsi="Calibri Light" w:cs="Calibri Light"/>
          <w:b/>
          <w:bCs/>
          <w:color w:val="000000" w:themeColor="text1"/>
          <w:sz w:val="22"/>
          <w:szCs w:val="22"/>
        </w:rPr>
        <w:t xml:space="preserve">finansowania dłużnego </w:t>
      </w:r>
      <w:r w:rsidRPr="00D32D20">
        <w:rPr>
          <w:rFonts w:ascii="Calibri Light" w:hAnsi="Calibri Light" w:cs="Calibri Light"/>
          <w:b/>
          <w:bCs/>
          <w:color w:val="000000" w:themeColor="text1"/>
          <w:sz w:val="22"/>
          <w:szCs w:val="22"/>
        </w:rPr>
        <w:t>wspiera inwestycje</w:t>
      </w:r>
    </w:p>
    <w:p w14:paraId="32CB8EB5" w14:textId="5D89A81E" w:rsidR="00CD39A0" w:rsidRPr="00B62444" w:rsidRDefault="00B62444" w:rsidP="00B62444">
      <w:pPr>
        <w:spacing w:after="120" w:line="240" w:lineRule="auto"/>
        <w:rPr>
          <w:rFonts w:ascii="Calibri Light" w:hAnsi="Calibri Light" w:cs="Calibri Light"/>
          <w:color w:val="000000" w:themeColor="text1"/>
          <w:sz w:val="22"/>
          <w:szCs w:val="22"/>
        </w:rPr>
      </w:pPr>
      <w:r w:rsidRPr="00D32D20">
        <w:rPr>
          <w:rFonts w:ascii="Calibri Light" w:hAnsi="Calibri Light" w:cs="Calibri Light"/>
          <w:color w:val="000000" w:themeColor="text1"/>
          <w:sz w:val="22"/>
          <w:szCs w:val="22"/>
        </w:rPr>
        <w:lastRenderedPageBreak/>
        <w:t>Coraz wi</w:t>
      </w:r>
      <w:r w:rsidRPr="00D32D20">
        <w:rPr>
          <w:rFonts w:ascii="Calibri Light" w:hAnsi="Calibri Light" w:cs="Calibri Light" w:hint="eastAsia"/>
          <w:color w:val="000000" w:themeColor="text1"/>
          <w:sz w:val="22"/>
          <w:szCs w:val="22"/>
        </w:rPr>
        <w:t>ę</w:t>
      </w:r>
      <w:r w:rsidRPr="00D32D20">
        <w:rPr>
          <w:rFonts w:ascii="Calibri Light" w:hAnsi="Calibri Light" w:cs="Calibri Light"/>
          <w:color w:val="000000" w:themeColor="text1"/>
          <w:sz w:val="22"/>
          <w:szCs w:val="22"/>
        </w:rPr>
        <w:t>cej inwestorów zak</w:t>
      </w:r>
      <w:r w:rsidRPr="00D32D20">
        <w:rPr>
          <w:rFonts w:ascii="Calibri Light" w:hAnsi="Calibri Light" w:cs="Calibri Light" w:hint="eastAsia"/>
          <w:color w:val="000000" w:themeColor="text1"/>
          <w:sz w:val="22"/>
          <w:szCs w:val="22"/>
        </w:rPr>
        <w:t>ł</w:t>
      </w:r>
      <w:r w:rsidRPr="00D32D20">
        <w:rPr>
          <w:rFonts w:ascii="Calibri Light" w:hAnsi="Calibri Light" w:cs="Calibri Light"/>
          <w:color w:val="000000" w:themeColor="text1"/>
          <w:sz w:val="22"/>
          <w:szCs w:val="22"/>
        </w:rPr>
        <w:t>ada dzi</w:t>
      </w:r>
      <w:r w:rsidRPr="00D32D20">
        <w:rPr>
          <w:rFonts w:ascii="Calibri Light" w:hAnsi="Calibri Light" w:cs="Calibri Light" w:hint="eastAsia"/>
          <w:color w:val="000000" w:themeColor="text1"/>
          <w:sz w:val="22"/>
          <w:szCs w:val="22"/>
        </w:rPr>
        <w:t>ś</w:t>
      </w:r>
      <w:r w:rsidRPr="00D32D20">
        <w:rPr>
          <w:rFonts w:ascii="Calibri Light" w:hAnsi="Calibri Light" w:cs="Calibri Light"/>
          <w:color w:val="000000" w:themeColor="text1"/>
          <w:sz w:val="22"/>
          <w:szCs w:val="22"/>
        </w:rPr>
        <w:t xml:space="preserve">, </w:t>
      </w:r>
      <w:r w:rsidRPr="00D32D20">
        <w:rPr>
          <w:rFonts w:ascii="Calibri Light" w:hAnsi="Calibri Light" w:cs="Calibri Light" w:hint="eastAsia"/>
          <w:color w:val="000000" w:themeColor="text1"/>
          <w:sz w:val="22"/>
          <w:szCs w:val="22"/>
        </w:rPr>
        <w:t>ż</w:t>
      </w:r>
      <w:r w:rsidRPr="00D32D20">
        <w:rPr>
          <w:rFonts w:ascii="Calibri Light" w:hAnsi="Calibri Light" w:cs="Calibri Light"/>
          <w:color w:val="000000" w:themeColor="text1"/>
          <w:sz w:val="22"/>
          <w:szCs w:val="22"/>
        </w:rPr>
        <w:t>e warunki do finansowania transakcji</w:t>
      </w:r>
      <w:r w:rsidR="00CA3D9C">
        <w:rPr>
          <w:rFonts w:ascii="Calibri Light" w:hAnsi="Calibri Light" w:cs="Calibri Light"/>
          <w:color w:val="000000" w:themeColor="text1"/>
          <w:sz w:val="22"/>
          <w:szCs w:val="22"/>
        </w:rPr>
        <w:t xml:space="preserve"> </w:t>
      </w:r>
      <w:proofErr w:type="spellStart"/>
      <w:r w:rsidR="00CA3D9C">
        <w:rPr>
          <w:rFonts w:ascii="Calibri Light" w:hAnsi="Calibri Light" w:cs="Calibri Light"/>
          <w:color w:val="000000" w:themeColor="text1"/>
          <w:sz w:val="22"/>
          <w:szCs w:val="22"/>
        </w:rPr>
        <w:t>private</w:t>
      </w:r>
      <w:proofErr w:type="spellEnd"/>
      <w:r w:rsidR="00CA3D9C">
        <w:rPr>
          <w:rFonts w:ascii="Calibri Light" w:hAnsi="Calibri Light" w:cs="Calibri Light"/>
          <w:color w:val="000000" w:themeColor="text1"/>
          <w:sz w:val="22"/>
          <w:szCs w:val="22"/>
        </w:rPr>
        <w:t xml:space="preserve"> equity </w:t>
      </w:r>
      <w:r w:rsidR="00B2022A">
        <w:rPr>
          <w:rFonts w:ascii="Calibri Light" w:hAnsi="Calibri Light" w:cs="Calibri Light"/>
          <w:color w:val="000000" w:themeColor="text1"/>
          <w:sz w:val="22"/>
          <w:szCs w:val="22"/>
        </w:rPr>
        <w:t xml:space="preserve">w regionie </w:t>
      </w:r>
      <w:r w:rsidR="00CA3D9C">
        <w:rPr>
          <w:rFonts w:ascii="Calibri Light" w:hAnsi="Calibri Light" w:cs="Calibri Light"/>
          <w:color w:val="000000" w:themeColor="text1"/>
          <w:sz w:val="22"/>
          <w:szCs w:val="22"/>
        </w:rPr>
        <w:t>poprawią</w:t>
      </w:r>
      <w:r w:rsidRPr="00D32D20">
        <w:rPr>
          <w:rFonts w:ascii="Calibri Light" w:hAnsi="Calibri Light" w:cs="Calibri Light"/>
          <w:color w:val="000000" w:themeColor="text1"/>
          <w:sz w:val="22"/>
          <w:szCs w:val="22"/>
        </w:rPr>
        <w:t xml:space="preserve"> </w:t>
      </w:r>
      <w:r w:rsidR="00B2022A">
        <w:rPr>
          <w:rFonts w:ascii="Calibri Light" w:hAnsi="Calibri Light" w:cs="Calibri Light"/>
          <w:color w:val="000000" w:themeColor="text1"/>
          <w:sz w:val="22"/>
          <w:szCs w:val="22"/>
        </w:rPr>
        <w:t>się</w:t>
      </w:r>
      <w:r w:rsidR="00CA3D9C">
        <w:rPr>
          <w:rFonts w:ascii="Calibri Light" w:hAnsi="Calibri Light" w:cs="Calibri Light"/>
          <w:color w:val="000000" w:themeColor="text1"/>
          <w:sz w:val="22"/>
          <w:szCs w:val="22"/>
        </w:rPr>
        <w:t xml:space="preserve">, co będzie </w:t>
      </w:r>
      <w:r w:rsidRPr="00D32D20">
        <w:rPr>
          <w:rFonts w:ascii="Calibri Light" w:hAnsi="Calibri Light" w:cs="Calibri Light"/>
          <w:color w:val="000000" w:themeColor="text1"/>
          <w:sz w:val="22"/>
          <w:szCs w:val="22"/>
        </w:rPr>
        <w:t>sprzyja</w:t>
      </w:r>
      <w:r w:rsidRPr="00D32D20">
        <w:rPr>
          <w:rFonts w:ascii="Calibri Light" w:hAnsi="Calibri Light" w:cs="Calibri Light" w:hint="eastAsia"/>
          <w:color w:val="000000" w:themeColor="text1"/>
          <w:sz w:val="22"/>
          <w:szCs w:val="22"/>
        </w:rPr>
        <w:t>ć</w:t>
      </w:r>
      <w:r w:rsidRPr="00D32D20">
        <w:rPr>
          <w:rFonts w:ascii="Calibri Light" w:hAnsi="Calibri Light" w:cs="Calibri Light"/>
          <w:color w:val="000000" w:themeColor="text1"/>
          <w:sz w:val="22"/>
          <w:szCs w:val="22"/>
        </w:rPr>
        <w:t xml:space="preserve"> aktywno</w:t>
      </w:r>
      <w:r w:rsidRPr="00D32D20">
        <w:rPr>
          <w:rFonts w:ascii="Calibri Light" w:hAnsi="Calibri Light" w:cs="Calibri Light" w:hint="eastAsia"/>
          <w:color w:val="000000" w:themeColor="text1"/>
          <w:sz w:val="22"/>
          <w:szCs w:val="22"/>
        </w:rPr>
        <w:t>ś</w:t>
      </w:r>
      <w:r w:rsidRPr="00D32D20">
        <w:rPr>
          <w:rFonts w:ascii="Calibri Light" w:hAnsi="Calibri Light" w:cs="Calibri Light"/>
          <w:color w:val="000000" w:themeColor="text1"/>
          <w:sz w:val="22"/>
          <w:szCs w:val="22"/>
        </w:rPr>
        <w:t xml:space="preserve">ci. Oczekiwania wobec </w:t>
      </w:r>
      <w:r w:rsidR="00CA3D9C">
        <w:rPr>
          <w:rFonts w:ascii="Calibri Light" w:hAnsi="Calibri Light" w:cs="Calibri Light"/>
          <w:color w:val="000000" w:themeColor="text1"/>
          <w:sz w:val="22"/>
          <w:szCs w:val="22"/>
        </w:rPr>
        <w:t xml:space="preserve">szerszej </w:t>
      </w:r>
      <w:r w:rsidRPr="00D32D20">
        <w:rPr>
          <w:rFonts w:ascii="Calibri Light" w:hAnsi="Calibri Light" w:cs="Calibri Light"/>
          <w:color w:val="000000" w:themeColor="text1"/>
          <w:sz w:val="22"/>
          <w:szCs w:val="22"/>
        </w:rPr>
        <w:t>dost</w:t>
      </w:r>
      <w:r w:rsidRPr="00D32D20">
        <w:rPr>
          <w:rFonts w:ascii="Calibri Light" w:hAnsi="Calibri Light" w:cs="Calibri Light" w:hint="eastAsia"/>
          <w:color w:val="000000" w:themeColor="text1"/>
          <w:sz w:val="22"/>
          <w:szCs w:val="22"/>
        </w:rPr>
        <w:t>ę</w:t>
      </w:r>
      <w:r w:rsidRPr="00D32D20">
        <w:rPr>
          <w:rFonts w:ascii="Calibri Light" w:hAnsi="Calibri Light" w:cs="Calibri Light"/>
          <w:color w:val="000000" w:themeColor="text1"/>
          <w:sz w:val="22"/>
          <w:szCs w:val="22"/>
        </w:rPr>
        <w:t>pno</w:t>
      </w:r>
      <w:r w:rsidRPr="00D32D20">
        <w:rPr>
          <w:rFonts w:ascii="Calibri Light" w:hAnsi="Calibri Light" w:cs="Calibri Light" w:hint="eastAsia"/>
          <w:color w:val="000000" w:themeColor="text1"/>
          <w:sz w:val="22"/>
          <w:szCs w:val="22"/>
        </w:rPr>
        <w:t>ś</w:t>
      </w:r>
      <w:r w:rsidRPr="00D32D20">
        <w:rPr>
          <w:rFonts w:ascii="Calibri Light" w:hAnsi="Calibri Light" w:cs="Calibri Light"/>
          <w:color w:val="000000" w:themeColor="text1"/>
          <w:sz w:val="22"/>
          <w:szCs w:val="22"/>
        </w:rPr>
        <w:t>ci d</w:t>
      </w:r>
      <w:r w:rsidRPr="00D32D20">
        <w:rPr>
          <w:rFonts w:ascii="Calibri Light" w:hAnsi="Calibri Light" w:cs="Calibri Light" w:hint="eastAsia"/>
          <w:color w:val="000000" w:themeColor="text1"/>
          <w:sz w:val="22"/>
          <w:szCs w:val="22"/>
        </w:rPr>
        <w:t>ł</w:t>
      </w:r>
      <w:r w:rsidRPr="00D32D20">
        <w:rPr>
          <w:rFonts w:ascii="Calibri Light" w:hAnsi="Calibri Light" w:cs="Calibri Light"/>
          <w:color w:val="000000" w:themeColor="text1"/>
          <w:sz w:val="22"/>
          <w:szCs w:val="22"/>
        </w:rPr>
        <w:t>ugu rosn</w:t>
      </w:r>
      <w:r w:rsidRPr="00D32D20">
        <w:rPr>
          <w:rFonts w:ascii="Calibri Light" w:hAnsi="Calibri Light" w:cs="Calibri Light" w:hint="eastAsia"/>
          <w:color w:val="000000" w:themeColor="text1"/>
          <w:sz w:val="22"/>
          <w:szCs w:val="22"/>
        </w:rPr>
        <w:t>ą</w:t>
      </w:r>
      <w:r w:rsidRPr="00D32D20">
        <w:rPr>
          <w:rFonts w:ascii="Calibri Light" w:hAnsi="Calibri Light" w:cs="Calibri Light"/>
          <w:color w:val="000000" w:themeColor="text1"/>
          <w:sz w:val="22"/>
          <w:szCs w:val="22"/>
        </w:rPr>
        <w:t xml:space="preserve"> trzeci okres z rz</w:t>
      </w:r>
      <w:r w:rsidRPr="00D32D20">
        <w:rPr>
          <w:rFonts w:ascii="Calibri Light" w:hAnsi="Calibri Light" w:cs="Calibri Light" w:hint="eastAsia"/>
          <w:color w:val="000000" w:themeColor="text1"/>
          <w:sz w:val="22"/>
          <w:szCs w:val="22"/>
        </w:rPr>
        <w:t>ę</w:t>
      </w:r>
      <w:r w:rsidRPr="00D32D20">
        <w:rPr>
          <w:rFonts w:ascii="Calibri Light" w:hAnsi="Calibri Light" w:cs="Calibri Light"/>
          <w:color w:val="000000" w:themeColor="text1"/>
          <w:sz w:val="22"/>
          <w:szCs w:val="22"/>
        </w:rPr>
        <w:t>du</w:t>
      </w:r>
      <w:r w:rsidR="00043BFB" w:rsidRPr="00D32D20">
        <w:rPr>
          <w:rFonts w:ascii="Calibri Light" w:hAnsi="Calibri Light" w:cs="Calibri Light"/>
          <w:color w:val="000000" w:themeColor="text1"/>
          <w:sz w:val="22"/>
          <w:szCs w:val="22"/>
        </w:rPr>
        <w:t xml:space="preserve"> –</w:t>
      </w:r>
      <w:r w:rsidR="00CB694B" w:rsidRPr="00D32D20">
        <w:rPr>
          <w:rFonts w:ascii="Calibri Light" w:hAnsi="Calibri Light" w:cs="Calibri Light"/>
          <w:color w:val="000000" w:themeColor="text1"/>
          <w:sz w:val="22"/>
          <w:szCs w:val="22"/>
        </w:rPr>
        <w:t xml:space="preserve"> ponad połowa</w:t>
      </w:r>
      <w:r w:rsidRPr="00D32D20">
        <w:rPr>
          <w:rFonts w:ascii="Calibri Light" w:hAnsi="Calibri Light" w:cs="Calibri Light"/>
          <w:color w:val="000000" w:themeColor="text1"/>
          <w:sz w:val="22"/>
          <w:szCs w:val="22"/>
        </w:rPr>
        <w:t xml:space="preserve"> </w:t>
      </w:r>
      <w:r w:rsidR="00CB694B" w:rsidRPr="00D32D20">
        <w:rPr>
          <w:rFonts w:ascii="Calibri Light" w:hAnsi="Calibri Light" w:cs="Calibri Light"/>
          <w:color w:val="000000" w:themeColor="text1"/>
          <w:sz w:val="22"/>
          <w:szCs w:val="22"/>
        </w:rPr>
        <w:t>(</w:t>
      </w:r>
      <w:r w:rsidRPr="00D32D20">
        <w:rPr>
          <w:rFonts w:ascii="Calibri Light" w:hAnsi="Calibri Light" w:cs="Calibri Light"/>
          <w:color w:val="000000" w:themeColor="text1"/>
          <w:sz w:val="22"/>
          <w:szCs w:val="22"/>
        </w:rPr>
        <w:t>51 proc.</w:t>
      </w:r>
      <w:r w:rsidR="00CB694B" w:rsidRPr="00D32D20">
        <w:rPr>
          <w:rFonts w:ascii="Calibri Light" w:hAnsi="Calibri Light" w:cs="Calibri Light"/>
          <w:color w:val="000000" w:themeColor="text1"/>
          <w:sz w:val="22"/>
          <w:szCs w:val="22"/>
        </w:rPr>
        <w:t>)</w:t>
      </w:r>
      <w:r w:rsidRPr="00B62444">
        <w:rPr>
          <w:rFonts w:ascii="Calibri Light" w:hAnsi="Calibri Light" w:cs="Calibri Light"/>
          <w:color w:val="000000" w:themeColor="text1"/>
          <w:sz w:val="22"/>
          <w:szCs w:val="22"/>
        </w:rPr>
        <w:t xml:space="preserve"> respondentów spodziewa si</w:t>
      </w:r>
      <w:r w:rsidRPr="00B62444">
        <w:rPr>
          <w:rFonts w:ascii="Calibri Light" w:hAnsi="Calibri Light" w:cs="Calibri Light" w:hint="eastAsia"/>
          <w:color w:val="000000" w:themeColor="text1"/>
          <w:sz w:val="22"/>
          <w:szCs w:val="22"/>
        </w:rPr>
        <w:t>ę</w:t>
      </w:r>
      <w:r w:rsidRPr="00B62444">
        <w:rPr>
          <w:rFonts w:ascii="Calibri Light" w:hAnsi="Calibri Light" w:cs="Calibri Light"/>
          <w:color w:val="000000" w:themeColor="text1"/>
          <w:sz w:val="22"/>
          <w:szCs w:val="22"/>
        </w:rPr>
        <w:t xml:space="preserve"> poprawy</w:t>
      </w:r>
      <w:r w:rsidR="00434C3C">
        <w:rPr>
          <w:rFonts w:ascii="Calibri Light" w:hAnsi="Calibri Light" w:cs="Calibri Light"/>
          <w:color w:val="000000" w:themeColor="text1"/>
          <w:sz w:val="22"/>
          <w:szCs w:val="22"/>
        </w:rPr>
        <w:t xml:space="preserve"> w tym zakresie</w:t>
      </w:r>
      <w:r w:rsidRPr="00B62444">
        <w:rPr>
          <w:rFonts w:ascii="Calibri Light" w:hAnsi="Calibri Light" w:cs="Calibri Light"/>
          <w:color w:val="000000" w:themeColor="text1"/>
          <w:sz w:val="22"/>
          <w:szCs w:val="22"/>
        </w:rPr>
        <w:t>, wobec 41 proc. w poprzedniej edycji. Jednocze</w:t>
      </w:r>
      <w:r w:rsidRPr="00B62444">
        <w:rPr>
          <w:rFonts w:ascii="Calibri Light" w:hAnsi="Calibri Light" w:cs="Calibri Light" w:hint="eastAsia"/>
          <w:color w:val="000000" w:themeColor="text1"/>
          <w:sz w:val="22"/>
          <w:szCs w:val="22"/>
        </w:rPr>
        <w:t>ś</w:t>
      </w:r>
      <w:r w:rsidRPr="00B62444">
        <w:rPr>
          <w:rFonts w:ascii="Calibri Light" w:hAnsi="Calibri Light" w:cs="Calibri Light"/>
          <w:color w:val="000000" w:themeColor="text1"/>
          <w:sz w:val="22"/>
          <w:szCs w:val="22"/>
        </w:rPr>
        <w:t>nie s</w:t>
      </w:r>
      <w:r w:rsidRPr="00B62444">
        <w:rPr>
          <w:rFonts w:ascii="Calibri Light" w:hAnsi="Calibri Light" w:cs="Calibri Light" w:hint="eastAsia"/>
          <w:color w:val="000000" w:themeColor="text1"/>
          <w:sz w:val="22"/>
          <w:szCs w:val="22"/>
        </w:rPr>
        <w:t>ł</w:t>
      </w:r>
      <w:r w:rsidRPr="00B62444">
        <w:rPr>
          <w:rFonts w:ascii="Calibri Light" w:hAnsi="Calibri Light" w:cs="Calibri Light"/>
          <w:color w:val="000000" w:themeColor="text1"/>
          <w:sz w:val="22"/>
          <w:szCs w:val="22"/>
        </w:rPr>
        <w:t>abn</w:t>
      </w:r>
      <w:r w:rsidRPr="00B62444">
        <w:rPr>
          <w:rFonts w:ascii="Calibri Light" w:hAnsi="Calibri Light" w:cs="Calibri Light" w:hint="eastAsia"/>
          <w:color w:val="000000" w:themeColor="text1"/>
          <w:sz w:val="22"/>
          <w:szCs w:val="22"/>
        </w:rPr>
        <w:t>ą</w:t>
      </w:r>
      <w:r w:rsidRPr="00B62444">
        <w:rPr>
          <w:rFonts w:ascii="Calibri Light" w:hAnsi="Calibri Light" w:cs="Calibri Light"/>
          <w:color w:val="000000" w:themeColor="text1"/>
          <w:sz w:val="22"/>
          <w:szCs w:val="22"/>
        </w:rPr>
        <w:t xml:space="preserve"> obawy o</w:t>
      </w:r>
      <w:r w:rsidR="00217215">
        <w:rPr>
          <w:rFonts w:ascii="Calibri Light" w:hAnsi="Calibri Light" w:cs="Calibri Light"/>
          <w:color w:val="000000" w:themeColor="text1"/>
          <w:sz w:val="22"/>
          <w:szCs w:val="22"/>
        </w:rPr>
        <w:t xml:space="preserve"> </w:t>
      </w:r>
      <w:r w:rsidR="00A07106" w:rsidRPr="00A07106">
        <w:rPr>
          <w:rFonts w:ascii="Calibri Light" w:hAnsi="Calibri Light" w:cs="Calibri Light"/>
          <w:color w:val="000000" w:themeColor="text1"/>
          <w:sz w:val="22"/>
          <w:szCs w:val="22"/>
        </w:rPr>
        <w:t>ograniczenie poda</w:t>
      </w:r>
      <w:r w:rsidR="00A07106" w:rsidRPr="00A07106">
        <w:rPr>
          <w:rFonts w:ascii="Calibri Light" w:hAnsi="Calibri Light" w:cs="Calibri Light" w:hint="eastAsia"/>
          <w:color w:val="000000" w:themeColor="text1"/>
          <w:sz w:val="22"/>
          <w:szCs w:val="22"/>
        </w:rPr>
        <w:t>ż</w:t>
      </w:r>
      <w:r w:rsidR="00A07106" w:rsidRPr="00A07106">
        <w:rPr>
          <w:rFonts w:ascii="Calibri Light" w:hAnsi="Calibri Light" w:cs="Calibri Light"/>
          <w:color w:val="000000" w:themeColor="text1"/>
          <w:sz w:val="22"/>
          <w:szCs w:val="22"/>
        </w:rPr>
        <w:t>y kapita</w:t>
      </w:r>
      <w:r w:rsidR="00A07106" w:rsidRPr="00A07106">
        <w:rPr>
          <w:rFonts w:ascii="Calibri Light" w:hAnsi="Calibri Light" w:cs="Calibri Light" w:hint="eastAsia"/>
          <w:color w:val="000000" w:themeColor="text1"/>
          <w:sz w:val="22"/>
          <w:szCs w:val="22"/>
        </w:rPr>
        <w:t>ł</w:t>
      </w:r>
      <w:r w:rsidR="00A07106" w:rsidRPr="00A07106">
        <w:rPr>
          <w:rFonts w:ascii="Calibri Light" w:hAnsi="Calibri Light" w:cs="Calibri Light"/>
          <w:color w:val="000000" w:themeColor="text1"/>
          <w:sz w:val="22"/>
          <w:szCs w:val="22"/>
        </w:rPr>
        <w:t>u – spadku dost</w:t>
      </w:r>
      <w:r w:rsidR="00A07106" w:rsidRPr="00A07106">
        <w:rPr>
          <w:rFonts w:ascii="Calibri Light" w:hAnsi="Calibri Light" w:cs="Calibri Light" w:hint="eastAsia"/>
          <w:color w:val="000000" w:themeColor="text1"/>
          <w:sz w:val="22"/>
          <w:szCs w:val="22"/>
        </w:rPr>
        <w:t>ę</w:t>
      </w:r>
      <w:r w:rsidR="00A07106" w:rsidRPr="00A07106">
        <w:rPr>
          <w:rFonts w:ascii="Calibri Light" w:hAnsi="Calibri Light" w:cs="Calibri Light"/>
          <w:color w:val="000000" w:themeColor="text1"/>
          <w:sz w:val="22"/>
          <w:szCs w:val="22"/>
        </w:rPr>
        <w:t>pno</w:t>
      </w:r>
      <w:r w:rsidR="00A07106" w:rsidRPr="00A07106">
        <w:rPr>
          <w:rFonts w:ascii="Calibri Light" w:hAnsi="Calibri Light" w:cs="Calibri Light" w:hint="eastAsia"/>
          <w:color w:val="000000" w:themeColor="text1"/>
          <w:sz w:val="22"/>
          <w:szCs w:val="22"/>
        </w:rPr>
        <w:t>ś</w:t>
      </w:r>
      <w:r w:rsidR="00A07106" w:rsidRPr="00A07106">
        <w:rPr>
          <w:rFonts w:ascii="Calibri Light" w:hAnsi="Calibri Light" w:cs="Calibri Light"/>
          <w:color w:val="000000" w:themeColor="text1"/>
          <w:sz w:val="22"/>
          <w:szCs w:val="22"/>
        </w:rPr>
        <w:t xml:space="preserve">ci finansowania </w:t>
      </w:r>
      <w:r w:rsidR="00A32862">
        <w:rPr>
          <w:rFonts w:ascii="Calibri Light" w:hAnsi="Calibri Light" w:cs="Calibri Light"/>
          <w:color w:val="000000" w:themeColor="text1"/>
          <w:sz w:val="22"/>
          <w:szCs w:val="22"/>
        </w:rPr>
        <w:t xml:space="preserve">spodziewa się </w:t>
      </w:r>
      <w:r w:rsidRPr="00B62444">
        <w:rPr>
          <w:rFonts w:ascii="Calibri Light" w:hAnsi="Calibri Light" w:cs="Calibri Light"/>
          <w:color w:val="000000" w:themeColor="text1"/>
          <w:sz w:val="22"/>
          <w:szCs w:val="22"/>
        </w:rPr>
        <w:t xml:space="preserve">tylko 4 proc. badanych, podczas gdy </w:t>
      </w:r>
      <w:r w:rsidR="00C9317F">
        <w:rPr>
          <w:rFonts w:ascii="Calibri Light" w:hAnsi="Calibri Light" w:cs="Calibri Light"/>
          <w:color w:val="000000" w:themeColor="text1"/>
          <w:sz w:val="22"/>
          <w:szCs w:val="22"/>
        </w:rPr>
        <w:t>w ostatniej edycji badania</w:t>
      </w:r>
      <w:r w:rsidR="00C9317F" w:rsidRPr="00B62444">
        <w:rPr>
          <w:rFonts w:ascii="Calibri Light" w:hAnsi="Calibri Light" w:cs="Calibri Light"/>
          <w:color w:val="000000" w:themeColor="text1"/>
          <w:sz w:val="22"/>
          <w:szCs w:val="22"/>
        </w:rPr>
        <w:t xml:space="preserve"> </w:t>
      </w:r>
      <w:r w:rsidRPr="00B62444">
        <w:rPr>
          <w:rFonts w:ascii="Calibri Light" w:hAnsi="Calibri Light" w:cs="Calibri Light"/>
          <w:color w:val="000000" w:themeColor="text1"/>
          <w:sz w:val="22"/>
          <w:szCs w:val="22"/>
        </w:rPr>
        <w:t>by</w:t>
      </w:r>
      <w:r w:rsidRPr="00B62444">
        <w:rPr>
          <w:rFonts w:ascii="Calibri Light" w:hAnsi="Calibri Light" w:cs="Calibri Light" w:hint="eastAsia"/>
          <w:color w:val="000000" w:themeColor="text1"/>
          <w:sz w:val="22"/>
          <w:szCs w:val="22"/>
        </w:rPr>
        <w:t>ł</w:t>
      </w:r>
      <w:r w:rsidRPr="00B62444">
        <w:rPr>
          <w:rFonts w:ascii="Calibri Light" w:hAnsi="Calibri Light" w:cs="Calibri Light"/>
          <w:color w:val="000000" w:themeColor="text1"/>
          <w:sz w:val="22"/>
          <w:szCs w:val="22"/>
        </w:rPr>
        <w:t xml:space="preserve">o to 7 proc. </w:t>
      </w:r>
      <w:r w:rsidR="00D46E31" w:rsidRPr="00D46E31">
        <w:rPr>
          <w:rFonts w:ascii="Calibri Light" w:hAnsi="Calibri Light" w:cs="Calibri Light"/>
          <w:color w:val="000000" w:themeColor="text1"/>
          <w:sz w:val="22"/>
          <w:szCs w:val="22"/>
        </w:rPr>
        <w:t xml:space="preserve">W tle widać też większą swobodę w wyborze źródeł finansowania. </w:t>
      </w:r>
      <w:r w:rsidRPr="00B62444">
        <w:rPr>
          <w:rFonts w:ascii="Calibri Light" w:hAnsi="Calibri Light" w:cs="Calibri Light"/>
          <w:color w:val="000000" w:themeColor="text1"/>
          <w:sz w:val="22"/>
          <w:szCs w:val="22"/>
        </w:rPr>
        <w:t>Obok banków coraz wyra</w:t>
      </w:r>
      <w:r w:rsidRPr="00B62444">
        <w:rPr>
          <w:rFonts w:ascii="Calibri Light" w:hAnsi="Calibri Light" w:cs="Calibri Light" w:hint="eastAsia"/>
          <w:color w:val="000000" w:themeColor="text1"/>
          <w:sz w:val="22"/>
          <w:szCs w:val="22"/>
        </w:rPr>
        <w:t>ź</w:t>
      </w:r>
      <w:r w:rsidRPr="00B62444">
        <w:rPr>
          <w:rFonts w:ascii="Calibri Light" w:hAnsi="Calibri Light" w:cs="Calibri Light"/>
          <w:color w:val="000000" w:themeColor="text1"/>
          <w:sz w:val="22"/>
          <w:szCs w:val="22"/>
        </w:rPr>
        <w:t>niej zaznaczaj</w:t>
      </w:r>
      <w:r w:rsidRPr="00B62444">
        <w:rPr>
          <w:rFonts w:ascii="Calibri Light" w:hAnsi="Calibri Light" w:cs="Calibri Light" w:hint="eastAsia"/>
          <w:color w:val="000000" w:themeColor="text1"/>
          <w:sz w:val="22"/>
          <w:szCs w:val="22"/>
        </w:rPr>
        <w:t>ą</w:t>
      </w:r>
      <w:r w:rsidRPr="00B62444">
        <w:rPr>
          <w:rFonts w:ascii="Calibri Light" w:hAnsi="Calibri Light" w:cs="Calibri Light"/>
          <w:color w:val="000000" w:themeColor="text1"/>
          <w:sz w:val="22"/>
          <w:szCs w:val="22"/>
        </w:rPr>
        <w:t xml:space="preserve"> si</w:t>
      </w:r>
      <w:r w:rsidRPr="00B62444">
        <w:rPr>
          <w:rFonts w:ascii="Calibri Light" w:hAnsi="Calibri Light" w:cs="Calibri Light" w:hint="eastAsia"/>
          <w:color w:val="000000" w:themeColor="text1"/>
          <w:sz w:val="22"/>
          <w:szCs w:val="22"/>
        </w:rPr>
        <w:t>ę</w:t>
      </w:r>
      <w:r w:rsidRPr="00B62444">
        <w:rPr>
          <w:rFonts w:ascii="Calibri Light" w:hAnsi="Calibri Light" w:cs="Calibri Light"/>
          <w:color w:val="000000" w:themeColor="text1"/>
          <w:sz w:val="22"/>
          <w:szCs w:val="22"/>
        </w:rPr>
        <w:t xml:space="preserve"> po</w:t>
      </w:r>
      <w:r w:rsidRPr="00B62444">
        <w:rPr>
          <w:rFonts w:ascii="Calibri Light" w:hAnsi="Calibri Light" w:cs="Calibri Light" w:hint="eastAsia"/>
          <w:color w:val="000000" w:themeColor="text1"/>
          <w:sz w:val="22"/>
          <w:szCs w:val="22"/>
        </w:rPr>
        <w:t>ż</w:t>
      </w:r>
      <w:r w:rsidRPr="00B62444">
        <w:rPr>
          <w:rFonts w:ascii="Calibri Light" w:hAnsi="Calibri Light" w:cs="Calibri Light"/>
          <w:color w:val="000000" w:themeColor="text1"/>
          <w:sz w:val="22"/>
          <w:szCs w:val="22"/>
        </w:rPr>
        <w:t xml:space="preserve">yczkodawcy </w:t>
      </w:r>
      <w:proofErr w:type="spellStart"/>
      <w:r w:rsidRPr="00B62444">
        <w:rPr>
          <w:rFonts w:ascii="Calibri Light" w:hAnsi="Calibri Light" w:cs="Calibri Light"/>
          <w:color w:val="000000" w:themeColor="text1"/>
          <w:sz w:val="22"/>
          <w:szCs w:val="22"/>
        </w:rPr>
        <w:t>pozabankowi</w:t>
      </w:r>
      <w:proofErr w:type="spellEnd"/>
      <w:r w:rsidRPr="00B62444">
        <w:rPr>
          <w:rFonts w:ascii="Calibri Light" w:hAnsi="Calibri Light" w:cs="Calibri Light"/>
          <w:color w:val="000000" w:themeColor="text1"/>
          <w:sz w:val="22"/>
          <w:szCs w:val="22"/>
        </w:rPr>
        <w:t>, a finansowanie w euro zyskuje na znaczeniu równie</w:t>
      </w:r>
      <w:r w:rsidRPr="00B62444">
        <w:rPr>
          <w:rFonts w:ascii="Calibri Light" w:hAnsi="Calibri Light" w:cs="Calibri Light" w:hint="eastAsia"/>
          <w:color w:val="000000" w:themeColor="text1"/>
          <w:sz w:val="22"/>
          <w:szCs w:val="22"/>
        </w:rPr>
        <w:t>ż</w:t>
      </w:r>
      <w:r w:rsidRPr="00B62444">
        <w:rPr>
          <w:rFonts w:ascii="Calibri Light" w:hAnsi="Calibri Light" w:cs="Calibri Light"/>
          <w:color w:val="000000" w:themeColor="text1"/>
          <w:sz w:val="22"/>
          <w:szCs w:val="22"/>
        </w:rPr>
        <w:t xml:space="preserve"> w krajach pozostaj</w:t>
      </w:r>
      <w:r w:rsidRPr="00B62444">
        <w:rPr>
          <w:rFonts w:ascii="Calibri Light" w:hAnsi="Calibri Light" w:cs="Calibri Light" w:hint="eastAsia"/>
          <w:color w:val="000000" w:themeColor="text1"/>
          <w:sz w:val="22"/>
          <w:szCs w:val="22"/>
        </w:rPr>
        <w:t>ą</w:t>
      </w:r>
      <w:r w:rsidRPr="00B62444">
        <w:rPr>
          <w:rFonts w:ascii="Calibri Light" w:hAnsi="Calibri Light" w:cs="Calibri Light"/>
          <w:color w:val="000000" w:themeColor="text1"/>
          <w:sz w:val="22"/>
          <w:szCs w:val="22"/>
        </w:rPr>
        <w:t>cych przy w</w:t>
      </w:r>
      <w:r w:rsidRPr="00B62444">
        <w:rPr>
          <w:rFonts w:ascii="Calibri Light" w:hAnsi="Calibri Light" w:cs="Calibri Light" w:hint="eastAsia"/>
          <w:color w:val="000000" w:themeColor="text1"/>
          <w:sz w:val="22"/>
          <w:szCs w:val="22"/>
        </w:rPr>
        <w:t>ł</w:t>
      </w:r>
      <w:r w:rsidRPr="00B62444">
        <w:rPr>
          <w:rFonts w:ascii="Calibri Light" w:hAnsi="Calibri Light" w:cs="Calibri Light"/>
          <w:color w:val="000000" w:themeColor="text1"/>
          <w:sz w:val="22"/>
          <w:szCs w:val="22"/>
        </w:rPr>
        <w:t>asnych walutach, co u</w:t>
      </w:r>
      <w:r w:rsidRPr="00B62444">
        <w:rPr>
          <w:rFonts w:ascii="Calibri Light" w:hAnsi="Calibri Light" w:cs="Calibri Light" w:hint="eastAsia"/>
          <w:color w:val="000000" w:themeColor="text1"/>
          <w:sz w:val="22"/>
          <w:szCs w:val="22"/>
        </w:rPr>
        <w:t>ł</w:t>
      </w:r>
      <w:r w:rsidRPr="00B62444">
        <w:rPr>
          <w:rFonts w:ascii="Calibri Light" w:hAnsi="Calibri Light" w:cs="Calibri Light"/>
          <w:color w:val="000000" w:themeColor="text1"/>
          <w:sz w:val="22"/>
          <w:szCs w:val="22"/>
        </w:rPr>
        <w:t>atwia pozyskiwanie finansowania dla transakcji lewarowanych.</w:t>
      </w:r>
    </w:p>
    <w:p w14:paraId="63030D2F" w14:textId="3DAC7165" w:rsidR="00B62444" w:rsidRDefault="00CA3D9C" w:rsidP="00572CA8">
      <w:pPr>
        <w:spacing w:after="120" w:line="240" w:lineRule="auto"/>
        <w:rPr>
          <w:rFonts w:ascii="Calibri Light" w:hAnsi="Calibri Light" w:cs="Calibri Light"/>
          <w:color w:val="000000" w:themeColor="text1"/>
          <w:sz w:val="22"/>
          <w:szCs w:val="22"/>
        </w:rPr>
      </w:pPr>
      <w:r>
        <w:rPr>
          <w:rFonts w:ascii="Calibri Light" w:hAnsi="Calibri Light" w:cs="Calibri Light"/>
          <w:color w:val="000000" w:themeColor="text1"/>
          <w:sz w:val="22"/>
          <w:szCs w:val="22"/>
        </w:rPr>
        <w:t>Jednocześnie wiele funduszy posiada rozbudowane portfele inwestycyjne i będzie chciało wykorzystać wspomniane otoczenie</w:t>
      </w:r>
      <w:r w:rsidR="00B2022A">
        <w:rPr>
          <w:rFonts w:ascii="Calibri Light" w:hAnsi="Calibri Light" w:cs="Calibri Light"/>
          <w:color w:val="000000" w:themeColor="text1"/>
          <w:sz w:val="22"/>
          <w:szCs w:val="22"/>
        </w:rPr>
        <w:t xml:space="preserve"> d</w:t>
      </w:r>
      <w:r>
        <w:rPr>
          <w:rFonts w:ascii="Calibri Light" w:hAnsi="Calibri Light" w:cs="Calibri Light"/>
          <w:color w:val="000000" w:themeColor="text1"/>
          <w:sz w:val="22"/>
          <w:szCs w:val="22"/>
        </w:rPr>
        <w:t xml:space="preserve">o zbadania możliwości </w:t>
      </w:r>
      <w:r w:rsidR="009E558E">
        <w:rPr>
          <w:rFonts w:ascii="Calibri Light" w:hAnsi="Calibri Light" w:cs="Calibri Light"/>
          <w:color w:val="000000" w:themeColor="text1"/>
          <w:sz w:val="22"/>
          <w:szCs w:val="22"/>
        </w:rPr>
        <w:t xml:space="preserve">sprzedaży aktywów. Stąd najbliższy okres może charakteryzować </w:t>
      </w:r>
      <w:r w:rsidR="00D34E04" w:rsidRPr="001A0BA3">
        <w:rPr>
          <w:rFonts w:ascii="Calibri Light" w:hAnsi="Calibri Light" w:cs="Calibri Light"/>
          <w:color w:val="000000" w:themeColor="text1"/>
          <w:sz w:val="22"/>
          <w:szCs w:val="22"/>
        </w:rPr>
        <w:t>większy nacisk</w:t>
      </w:r>
      <w:r w:rsidR="00A86F3C" w:rsidRPr="001A0BA3">
        <w:t xml:space="preserve"> </w:t>
      </w:r>
      <w:r w:rsidR="00A86F3C" w:rsidRPr="001A0BA3">
        <w:rPr>
          <w:rFonts w:ascii="Calibri Light" w:hAnsi="Calibri Light" w:cs="Calibri Light"/>
          <w:color w:val="000000" w:themeColor="text1"/>
          <w:sz w:val="22"/>
          <w:szCs w:val="22"/>
        </w:rPr>
        <w:t>na budowanie wartości posiadanych spółek.</w:t>
      </w:r>
      <w:r w:rsidR="00D34E04" w:rsidRPr="001A0BA3">
        <w:rPr>
          <w:rFonts w:ascii="Calibri Light" w:hAnsi="Calibri Light" w:cs="Calibri Light"/>
          <w:color w:val="000000" w:themeColor="text1"/>
          <w:sz w:val="22"/>
          <w:szCs w:val="22"/>
        </w:rPr>
        <w:t xml:space="preserve"> Odsetek respondentów wskazujących nowe inwestycje jako główny priorytet spadł do 46 proc., o 8 </w:t>
      </w:r>
      <w:proofErr w:type="spellStart"/>
      <w:r w:rsidR="00B33B19" w:rsidRPr="001A0BA3">
        <w:rPr>
          <w:rFonts w:ascii="Calibri Light" w:hAnsi="Calibri Light" w:cs="Calibri Light"/>
          <w:color w:val="000000" w:themeColor="text1"/>
          <w:sz w:val="22"/>
          <w:szCs w:val="22"/>
        </w:rPr>
        <w:t>p.p</w:t>
      </w:r>
      <w:proofErr w:type="spellEnd"/>
      <w:r w:rsidR="00B33B19" w:rsidRPr="001A0BA3">
        <w:rPr>
          <w:rFonts w:ascii="Calibri Light" w:hAnsi="Calibri Light" w:cs="Calibri Light"/>
          <w:color w:val="000000" w:themeColor="text1"/>
          <w:sz w:val="22"/>
          <w:szCs w:val="22"/>
        </w:rPr>
        <w:t>.</w:t>
      </w:r>
      <w:r w:rsidR="00D34E04" w:rsidRPr="001A0BA3">
        <w:rPr>
          <w:rFonts w:ascii="Calibri Light" w:hAnsi="Calibri Light" w:cs="Calibri Light"/>
          <w:color w:val="000000" w:themeColor="text1"/>
          <w:sz w:val="22"/>
          <w:szCs w:val="22"/>
        </w:rPr>
        <w:t xml:space="preserve"> </w:t>
      </w:r>
      <w:r w:rsidR="004142BD" w:rsidRPr="001A0BA3">
        <w:rPr>
          <w:rFonts w:ascii="Calibri Light" w:hAnsi="Calibri Light" w:cs="Calibri Light"/>
          <w:color w:val="000000" w:themeColor="text1"/>
          <w:sz w:val="22"/>
          <w:szCs w:val="22"/>
        </w:rPr>
        <w:t xml:space="preserve">mniej </w:t>
      </w:r>
      <w:r w:rsidR="00D34E04" w:rsidRPr="001A0BA3">
        <w:rPr>
          <w:rFonts w:ascii="Calibri Light" w:hAnsi="Calibri Light" w:cs="Calibri Light"/>
          <w:color w:val="000000" w:themeColor="text1"/>
          <w:sz w:val="22"/>
          <w:szCs w:val="22"/>
        </w:rPr>
        <w:t xml:space="preserve">względem poprzedniej edycji, a równolegle wzrósł udział tych, którzy planują koncentrować się na zarządzaniu portfelem (38 proc.). Na tym tle bez większych zmian pozostają plany związane z pozyskiwaniem kapitału: 17 proc. badanych </w:t>
      </w:r>
      <w:r w:rsidR="008C03C5" w:rsidRPr="001A0BA3">
        <w:rPr>
          <w:rFonts w:ascii="Calibri Light" w:hAnsi="Calibri Light" w:cs="Calibri Light"/>
          <w:color w:val="000000" w:themeColor="text1"/>
          <w:sz w:val="22"/>
          <w:szCs w:val="22"/>
        </w:rPr>
        <w:t>uznaje</w:t>
      </w:r>
      <w:r w:rsidR="00D34E04" w:rsidRPr="001A0BA3">
        <w:rPr>
          <w:rFonts w:ascii="Calibri Light" w:hAnsi="Calibri Light" w:cs="Calibri Light"/>
          <w:color w:val="000000" w:themeColor="text1"/>
          <w:sz w:val="22"/>
          <w:szCs w:val="22"/>
        </w:rPr>
        <w:t xml:space="preserve"> ten obszar jako swój priorytet.</w:t>
      </w:r>
    </w:p>
    <w:p w14:paraId="68F31917" w14:textId="1B612554" w:rsidR="00630D0F" w:rsidRPr="00C915FB" w:rsidRDefault="00630D0F" w:rsidP="00572CA8">
      <w:pPr>
        <w:spacing w:after="120" w:line="240" w:lineRule="auto"/>
        <w:rPr>
          <w:rFonts w:ascii="Calibri Light" w:hAnsi="Calibri Light" w:cs="Calibri Light"/>
          <w:b/>
          <w:bCs/>
          <w:color w:val="000000" w:themeColor="text1"/>
          <w:sz w:val="22"/>
          <w:szCs w:val="22"/>
        </w:rPr>
      </w:pPr>
      <w:r w:rsidRPr="00630D0F">
        <w:rPr>
          <w:rFonts w:ascii="Calibri Light" w:hAnsi="Calibri Light" w:cs="Calibri Light"/>
          <w:b/>
          <w:bCs/>
          <w:color w:val="000000" w:themeColor="text1"/>
          <w:sz w:val="22"/>
          <w:szCs w:val="22"/>
        </w:rPr>
        <w:t xml:space="preserve">Rynek </w:t>
      </w:r>
      <w:proofErr w:type="spellStart"/>
      <w:r>
        <w:rPr>
          <w:rFonts w:ascii="Calibri Light" w:hAnsi="Calibri Light" w:cs="Calibri Light"/>
          <w:b/>
          <w:bCs/>
          <w:color w:val="000000" w:themeColor="text1"/>
          <w:sz w:val="22"/>
          <w:szCs w:val="22"/>
        </w:rPr>
        <w:t>private</w:t>
      </w:r>
      <w:proofErr w:type="spellEnd"/>
      <w:r>
        <w:rPr>
          <w:rFonts w:ascii="Calibri Light" w:hAnsi="Calibri Light" w:cs="Calibri Light"/>
          <w:b/>
          <w:bCs/>
          <w:color w:val="000000" w:themeColor="text1"/>
          <w:sz w:val="22"/>
          <w:szCs w:val="22"/>
        </w:rPr>
        <w:t xml:space="preserve"> equity</w:t>
      </w:r>
      <w:r w:rsidRPr="00630D0F">
        <w:rPr>
          <w:rFonts w:ascii="Calibri Light" w:hAnsi="Calibri Light" w:cs="Calibri Light"/>
          <w:b/>
          <w:bCs/>
          <w:color w:val="000000" w:themeColor="text1"/>
          <w:sz w:val="22"/>
          <w:szCs w:val="22"/>
        </w:rPr>
        <w:t xml:space="preserve"> wchodzi w fazę wzrostu</w:t>
      </w:r>
    </w:p>
    <w:p w14:paraId="55517879" w14:textId="548BA5C6" w:rsidR="00434E39" w:rsidRDefault="00E24479" w:rsidP="00572CA8">
      <w:pPr>
        <w:spacing w:after="120" w:line="240" w:lineRule="auto"/>
        <w:rPr>
          <w:rFonts w:ascii="Calibri Light" w:hAnsi="Calibri Light" w:cs="Calibri Light"/>
          <w:color w:val="000000" w:themeColor="text1"/>
          <w:sz w:val="22"/>
          <w:szCs w:val="22"/>
        </w:rPr>
      </w:pPr>
      <w:r w:rsidRPr="00E24479">
        <w:rPr>
          <w:rFonts w:ascii="Calibri Light" w:hAnsi="Calibri Light" w:cs="Calibri Light"/>
          <w:color w:val="000000" w:themeColor="text1"/>
          <w:sz w:val="22"/>
          <w:szCs w:val="22"/>
        </w:rPr>
        <w:t xml:space="preserve">Prognozy dotyczące rynku </w:t>
      </w:r>
      <w:proofErr w:type="spellStart"/>
      <w:r w:rsidR="00B2022A">
        <w:rPr>
          <w:rFonts w:ascii="Calibri Light" w:hAnsi="Calibri Light" w:cs="Calibri Light"/>
          <w:color w:val="000000" w:themeColor="text1"/>
          <w:sz w:val="22"/>
          <w:szCs w:val="22"/>
        </w:rPr>
        <w:t>p</w:t>
      </w:r>
      <w:r w:rsidR="009E558E">
        <w:rPr>
          <w:rFonts w:ascii="Calibri Light" w:hAnsi="Calibri Light" w:cs="Calibri Light"/>
          <w:color w:val="000000" w:themeColor="text1"/>
          <w:sz w:val="22"/>
          <w:szCs w:val="22"/>
        </w:rPr>
        <w:t>rivate</w:t>
      </w:r>
      <w:proofErr w:type="spellEnd"/>
      <w:r w:rsidR="009E558E">
        <w:rPr>
          <w:rFonts w:ascii="Calibri Light" w:hAnsi="Calibri Light" w:cs="Calibri Light"/>
          <w:color w:val="000000" w:themeColor="text1"/>
          <w:sz w:val="22"/>
          <w:szCs w:val="22"/>
        </w:rPr>
        <w:t xml:space="preserve"> </w:t>
      </w:r>
      <w:r w:rsidR="00B2022A">
        <w:rPr>
          <w:rFonts w:ascii="Calibri Light" w:hAnsi="Calibri Light" w:cs="Calibri Light"/>
          <w:color w:val="000000" w:themeColor="text1"/>
          <w:sz w:val="22"/>
          <w:szCs w:val="22"/>
        </w:rPr>
        <w:t>e</w:t>
      </w:r>
      <w:r w:rsidR="009E558E">
        <w:rPr>
          <w:rFonts w:ascii="Calibri Light" w:hAnsi="Calibri Light" w:cs="Calibri Light"/>
          <w:color w:val="000000" w:themeColor="text1"/>
          <w:sz w:val="22"/>
          <w:szCs w:val="22"/>
        </w:rPr>
        <w:t xml:space="preserve">quity </w:t>
      </w:r>
      <w:r w:rsidRPr="00E24479">
        <w:rPr>
          <w:rFonts w:ascii="Calibri Light" w:hAnsi="Calibri Light" w:cs="Calibri Light"/>
          <w:color w:val="000000" w:themeColor="text1"/>
          <w:sz w:val="22"/>
          <w:szCs w:val="22"/>
        </w:rPr>
        <w:t xml:space="preserve">na nadchodzące miesiące wskazują na powrót silnego optymizmu. Według najnowszego badania ponad połowa respondentów (56 proc.) spodziewa się </w:t>
      </w:r>
      <w:r w:rsidR="003651A5" w:rsidRPr="00E24479">
        <w:rPr>
          <w:rFonts w:ascii="Calibri Light" w:hAnsi="Calibri Light" w:cs="Calibri Light"/>
          <w:color w:val="000000" w:themeColor="text1"/>
          <w:sz w:val="22"/>
          <w:szCs w:val="22"/>
        </w:rPr>
        <w:t>w 2026 roku</w:t>
      </w:r>
      <w:r w:rsidR="003651A5">
        <w:rPr>
          <w:rFonts w:ascii="Calibri Light" w:hAnsi="Calibri Light" w:cs="Calibri Light"/>
          <w:color w:val="000000" w:themeColor="text1"/>
          <w:sz w:val="22"/>
          <w:szCs w:val="22"/>
        </w:rPr>
        <w:t xml:space="preserve"> </w:t>
      </w:r>
      <w:r w:rsidR="008053D5">
        <w:rPr>
          <w:rFonts w:ascii="Calibri Light" w:hAnsi="Calibri Light" w:cs="Calibri Light"/>
          <w:color w:val="000000" w:themeColor="text1"/>
          <w:sz w:val="22"/>
          <w:szCs w:val="22"/>
        </w:rPr>
        <w:t>zwiększenia</w:t>
      </w:r>
      <w:r w:rsidRPr="00E24479">
        <w:rPr>
          <w:rFonts w:ascii="Calibri Light" w:hAnsi="Calibri Light" w:cs="Calibri Light"/>
          <w:color w:val="000000" w:themeColor="text1"/>
          <w:sz w:val="22"/>
          <w:szCs w:val="22"/>
        </w:rPr>
        <w:t xml:space="preserve"> aktywności rynkowej,</w:t>
      </w:r>
      <w:r w:rsidR="003651A5" w:rsidRPr="003651A5">
        <w:t xml:space="preserve"> </w:t>
      </w:r>
      <w:r w:rsidR="003651A5" w:rsidRPr="003651A5">
        <w:rPr>
          <w:rFonts w:ascii="Calibri Light" w:hAnsi="Calibri Light" w:cs="Calibri Light"/>
          <w:color w:val="000000" w:themeColor="text1"/>
          <w:sz w:val="22"/>
          <w:szCs w:val="22"/>
        </w:rPr>
        <w:t>czyli liczby prowadzonych procesów transakcyjnych</w:t>
      </w:r>
      <w:r w:rsidR="003651A5">
        <w:rPr>
          <w:rFonts w:ascii="Calibri Light" w:hAnsi="Calibri Light" w:cs="Calibri Light"/>
          <w:color w:val="000000" w:themeColor="text1"/>
          <w:sz w:val="22"/>
          <w:szCs w:val="22"/>
        </w:rPr>
        <w:t>.</w:t>
      </w:r>
      <w:r w:rsidRPr="00E24479">
        <w:rPr>
          <w:rFonts w:ascii="Calibri Light" w:hAnsi="Calibri Light" w:cs="Calibri Light"/>
          <w:color w:val="000000" w:themeColor="text1"/>
          <w:sz w:val="22"/>
          <w:szCs w:val="22"/>
        </w:rPr>
        <w:t xml:space="preserve"> </w:t>
      </w:r>
      <w:r w:rsidR="003651A5">
        <w:rPr>
          <w:rFonts w:ascii="Calibri Light" w:hAnsi="Calibri Light" w:cs="Calibri Light"/>
          <w:color w:val="000000" w:themeColor="text1"/>
          <w:sz w:val="22"/>
          <w:szCs w:val="22"/>
        </w:rPr>
        <w:t>S</w:t>
      </w:r>
      <w:r w:rsidRPr="00E24479">
        <w:rPr>
          <w:rFonts w:ascii="Calibri Light" w:hAnsi="Calibri Light" w:cs="Calibri Light"/>
          <w:color w:val="000000" w:themeColor="text1"/>
          <w:sz w:val="22"/>
          <w:szCs w:val="22"/>
        </w:rPr>
        <w:t xml:space="preserve">tanowi </w:t>
      </w:r>
      <w:r w:rsidR="003651A5">
        <w:rPr>
          <w:rFonts w:ascii="Calibri Light" w:hAnsi="Calibri Light" w:cs="Calibri Light"/>
          <w:color w:val="000000" w:themeColor="text1"/>
          <w:sz w:val="22"/>
          <w:szCs w:val="22"/>
        </w:rPr>
        <w:t>to</w:t>
      </w:r>
      <w:r w:rsidR="00B2022A">
        <w:rPr>
          <w:rFonts w:ascii="Calibri Light" w:hAnsi="Calibri Light" w:cs="Calibri Light"/>
          <w:color w:val="000000" w:themeColor="text1"/>
          <w:sz w:val="22"/>
          <w:szCs w:val="22"/>
        </w:rPr>
        <w:t xml:space="preserve"> </w:t>
      </w:r>
      <w:r w:rsidRPr="00E24479">
        <w:rPr>
          <w:rFonts w:ascii="Calibri Light" w:hAnsi="Calibri Light" w:cs="Calibri Light"/>
          <w:color w:val="000000" w:themeColor="text1"/>
          <w:sz w:val="22"/>
          <w:szCs w:val="22"/>
        </w:rPr>
        <w:t xml:space="preserve">dwukrotny wzrost w porównaniu z poprzednią edycją (28 proc.). </w:t>
      </w:r>
      <w:r w:rsidR="00085189">
        <w:rPr>
          <w:rFonts w:ascii="Calibri Light" w:hAnsi="Calibri Light" w:cs="Calibri Light"/>
          <w:color w:val="000000" w:themeColor="text1"/>
          <w:sz w:val="22"/>
          <w:szCs w:val="22"/>
        </w:rPr>
        <w:t>Z</w:t>
      </w:r>
      <w:r w:rsidRPr="00E24479">
        <w:rPr>
          <w:rFonts w:ascii="Calibri Light" w:hAnsi="Calibri Light" w:cs="Calibri Light"/>
          <w:color w:val="000000" w:themeColor="text1"/>
          <w:sz w:val="22"/>
          <w:szCs w:val="22"/>
        </w:rPr>
        <w:t xml:space="preserve">aledwie 8 proc. ankietowanych obawia się spadku aktywności. W obszarze wielkości realizowanych transakcji </w:t>
      </w:r>
      <w:r w:rsidR="009E558E">
        <w:rPr>
          <w:rFonts w:ascii="Calibri Light" w:hAnsi="Calibri Light" w:cs="Calibri Light"/>
          <w:color w:val="000000" w:themeColor="text1"/>
          <w:sz w:val="22"/>
          <w:szCs w:val="22"/>
        </w:rPr>
        <w:t xml:space="preserve">należy spodziewać się </w:t>
      </w:r>
      <w:r w:rsidRPr="00E24479">
        <w:rPr>
          <w:rFonts w:ascii="Calibri Light" w:hAnsi="Calibri Light" w:cs="Calibri Light"/>
          <w:color w:val="000000" w:themeColor="text1"/>
          <w:sz w:val="22"/>
          <w:szCs w:val="22"/>
        </w:rPr>
        <w:t xml:space="preserve">stabilizacji – sześciu na dziesięciu uczestników badania (60 proc.) zakłada utrzymanie dotychczasowych średnich wartości, podczas gdy 35 proc. liczy na ich wzrost. Takie nastroje korelują z danymi za rok 2025, który przyniósł liczne akwizycje w sektorze </w:t>
      </w:r>
      <w:proofErr w:type="spellStart"/>
      <w:r w:rsidRPr="00E24479">
        <w:rPr>
          <w:rFonts w:ascii="Calibri Light" w:hAnsi="Calibri Light" w:cs="Calibri Light"/>
          <w:color w:val="000000" w:themeColor="text1"/>
          <w:sz w:val="22"/>
          <w:szCs w:val="22"/>
        </w:rPr>
        <w:t>mid</w:t>
      </w:r>
      <w:proofErr w:type="spellEnd"/>
      <w:r w:rsidRPr="00E24479">
        <w:rPr>
          <w:rFonts w:ascii="Calibri Light" w:hAnsi="Calibri Light" w:cs="Calibri Light"/>
          <w:color w:val="000000" w:themeColor="text1"/>
          <w:sz w:val="22"/>
          <w:szCs w:val="22"/>
        </w:rPr>
        <w:t>-market, w tym istotne transakcje transgraniczne, potwierdzające dobrą kondycję funduszy operujących w Europie Środkowej.</w:t>
      </w:r>
    </w:p>
    <w:p w14:paraId="2942C3F6" w14:textId="2ABE4FBE" w:rsidR="00E24479" w:rsidRDefault="0068504A" w:rsidP="00572CA8">
      <w:pPr>
        <w:spacing w:after="120" w:line="240" w:lineRule="auto"/>
        <w:rPr>
          <w:rFonts w:ascii="Calibri Light" w:hAnsi="Calibri Light" w:cs="Calibri Light"/>
          <w:color w:val="000000" w:themeColor="text1"/>
          <w:sz w:val="22"/>
          <w:szCs w:val="22"/>
        </w:rPr>
      </w:pPr>
      <w:r w:rsidRPr="0068504A">
        <w:rPr>
          <w:rFonts w:ascii="Calibri Light" w:hAnsi="Calibri Light" w:cs="Calibri Light"/>
          <w:color w:val="000000" w:themeColor="text1"/>
          <w:sz w:val="22"/>
          <w:szCs w:val="22"/>
        </w:rPr>
        <w:t xml:space="preserve">– </w:t>
      </w:r>
      <w:r w:rsidRPr="00C915FB">
        <w:rPr>
          <w:rFonts w:ascii="Calibri Light" w:hAnsi="Calibri Light" w:cs="Calibri Light"/>
          <w:i/>
          <w:iCs/>
          <w:color w:val="000000" w:themeColor="text1"/>
          <w:sz w:val="22"/>
          <w:szCs w:val="22"/>
        </w:rPr>
        <w:t xml:space="preserve">Wyraźny wzrost odsetka inwestorów prognozujących ożywienie aktywności – z 28 proc. do poziomu 56 proc. – sugeruje, że rynek </w:t>
      </w:r>
      <w:proofErr w:type="spellStart"/>
      <w:r w:rsidRPr="00C915FB">
        <w:rPr>
          <w:rFonts w:ascii="Calibri Light" w:hAnsi="Calibri Light" w:cs="Calibri Light"/>
          <w:i/>
          <w:iCs/>
          <w:color w:val="000000" w:themeColor="text1"/>
          <w:sz w:val="22"/>
          <w:szCs w:val="22"/>
        </w:rPr>
        <w:t>private</w:t>
      </w:r>
      <w:proofErr w:type="spellEnd"/>
      <w:r w:rsidRPr="00C915FB">
        <w:rPr>
          <w:rFonts w:ascii="Calibri Light" w:hAnsi="Calibri Light" w:cs="Calibri Light"/>
          <w:i/>
          <w:iCs/>
          <w:color w:val="000000" w:themeColor="text1"/>
          <w:sz w:val="22"/>
          <w:szCs w:val="22"/>
        </w:rPr>
        <w:t xml:space="preserve"> equity w Europie Środkowej wchodzi w fazę wzrostową. </w:t>
      </w:r>
      <w:r w:rsidR="009E558E">
        <w:rPr>
          <w:rFonts w:ascii="Calibri Light" w:hAnsi="Calibri Light" w:cs="Calibri Light"/>
          <w:i/>
          <w:iCs/>
          <w:color w:val="000000" w:themeColor="text1"/>
          <w:sz w:val="22"/>
          <w:szCs w:val="22"/>
        </w:rPr>
        <w:t>Niezmienna pozostaje specyfika naszego rynku</w:t>
      </w:r>
      <w:r w:rsidRPr="00C915FB">
        <w:rPr>
          <w:rFonts w:ascii="Calibri Light" w:hAnsi="Calibri Light" w:cs="Calibri Light"/>
          <w:i/>
          <w:iCs/>
          <w:color w:val="000000" w:themeColor="text1"/>
          <w:sz w:val="22"/>
          <w:szCs w:val="22"/>
        </w:rPr>
        <w:t xml:space="preserve">, gdzie aż 60 proc. badanych zakłada utrzymanie przeciętnej wartości transakcji. Takie nastawienie, w połączeniu z powrotem wolumenów rynkowych do ich długoterminowej średniej oraz coraz śmielszymi akwizycjami zagranicznymi, pozwala zakładać, że </w:t>
      </w:r>
      <w:r w:rsidR="007C19E6">
        <w:rPr>
          <w:rFonts w:ascii="Calibri Light" w:hAnsi="Calibri Light" w:cs="Calibri Light"/>
          <w:i/>
          <w:iCs/>
          <w:color w:val="000000" w:themeColor="text1"/>
          <w:sz w:val="22"/>
          <w:szCs w:val="22"/>
        </w:rPr>
        <w:t xml:space="preserve">rozpoczynający się </w:t>
      </w:r>
      <w:r w:rsidRPr="00C915FB">
        <w:rPr>
          <w:rFonts w:ascii="Calibri Light" w:hAnsi="Calibri Light" w:cs="Calibri Light"/>
          <w:i/>
          <w:iCs/>
          <w:color w:val="000000" w:themeColor="text1"/>
          <w:sz w:val="22"/>
          <w:szCs w:val="22"/>
        </w:rPr>
        <w:t>rok będzie okresem intensywnej realizacji strategicznych celów inwestycyjnych</w:t>
      </w:r>
      <w:r w:rsidRPr="0068504A">
        <w:rPr>
          <w:rFonts w:ascii="Calibri Light" w:hAnsi="Calibri Light" w:cs="Calibri Light"/>
          <w:color w:val="000000" w:themeColor="text1"/>
          <w:sz w:val="22"/>
          <w:szCs w:val="22"/>
        </w:rPr>
        <w:t xml:space="preserve"> –</w:t>
      </w:r>
      <w:r>
        <w:rPr>
          <w:rFonts w:ascii="Calibri Light" w:hAnsi="Calibri Light" w:cs="Calibri Light"/>
          <w:color w:val="000000" w:themeColor="text1"/>
          <w:sz w:val="22"/>
          <w:szCs w:val="22"/>
        </w:rPr>
        <w:t xml:space="preserve"> dodaje </w:t>
      </w:r>
      <w:r w:rsidRPr="004B5EFD">
        <w:rPr>
          <w:rFonts w:ascii="Calibri Light" w:hAnsi="Calibri Light" w:cs="Calibri Light"/>
          <w:b/>
          <w:bCs/>
          <w:color w:val="000000" w:themeColor="text1"/>
          <w:sz w:val="22"/>
          <w:szCs w:val="22"/>
        </w:rPr>
        <w:t>Michał Tokarski</w:t>
      </w:r>
      <w:r>
        <w:rPr>
          <w:rFonts w:ascii="Calibri Light" w:hAnsi="Calibri Light" w:cs="Calibri Light"/>
          <w:color w:val="000000" w:themeColor="text1"/>
          <w:sz w:val="22"/>
          <w:szCs w:val="22"/>
        </w:rPr>
        <w:t>.</w:t>
      </w:r>
    </w:p>
    <w:p w14:paraId="551D1D18" w14:textId="6452BEBE" w:rsidR="006B4F62" w:rsidRPr="00C915FB" w:rsidRDefault="00E20DC8" w:rsidP="00572CA8">
      <w:pPr>
        <w:spacing w:after="120" w:line="240" w:lineRule="auto"/>
        <w:rPr>
          <w:rFonts w:ascii="Calibri Light" w:hAnsi="Calibri Light" w:cs="Calibri Light"/>
          <w:color w:val="000000" w:themeColor="text1"/>
          <w:sz w:val="22"/>
          <w:szCs w:val="22"/>
        </w:rPr>
      </w:pPr>
      <w:r w:rsidRPr="00E20DC8">
        <w:rPr>
          <w:rFonts w:ascii="Calibri Light" w:hAnsi="Calibri Light" w:cs="Calibri Light"/>
          <w:color w:val="000000" w:themeColor="text1"/>
          <w:sz w:val="22"/>
          <w:szCs w:val="22"/>
        </w:rPr>
        <w:t xml:space="preserve">Pozytywnym nastrojom towarzyszy </w:t>
      </w:r>
      <w:r w:rsidR="007C19E6">
        <w:rPr>
          <w:rFonts w:ascii="Calibri Light" w:hAnsi="Calibri Light" w:cs="Calibri Light"/>
          <w:color w:val="000000" w:themeColor="text1"/>
          <w:sz w:val="22"/>
          <w:szCs w:val="22"/>
        </w:rPr>
        <w:t xml:space="preserve">również </w:t>
      </w:r>
      <w:r w:rsidRPr="00E20DC8">
        <w:rPr>
          <w:rFonts w:ascii="Calibri Light" w:hAnsi="Calibri Light" w:cs="Calibri Light"/>
          <w:color w:val="000000" w:themeColor="text1"/>
          <w:sz w:val="22"/>
          <w:szCs w:val="22"/>
        </w:rPr>
        <w:t xml:space="preserve">wyraźny wzrost oczekiwań w zakresie efektywności finansowej inwestycji. Obecnie ponad połowa respondentów (53 proc.) </w:t>
      </w:r>
      <w:r w:rsidR="00BB6C4B">
        <w:rPr>
          <w:rFonts w:ascii="Calibri Light" w:hAnsi="Calibri Light" w:cs="Calibri Light"/>
          <w:color w:val="000000" w:themeColor="text1"/>
          <w:sz w:val="22"/>
          <w:szCs w:val="22"/>
        </w:rPr>
        <w:t>oczekuje</w:t>
      </w:r>
      <w:r w:rsidRPr="00E20DC8">
        <w:rPr>
          <w:rFonts w:ascii="Calibri Light" w:hAnsi="Calibri Light" w:cs="Calibri Light"/>
          <w:color w:val="000000" w:themeColor="text1"/>
          <w:sz w:val="22"/>
          <w:szCs w:val="22"/>
        </w:rPr>
        <w:t xml:space="preserve"> poprawy finalnego zwrotu z zainwestowanego kapitału, co stanowi </w:t>
      </w:r>
      <w:r w:rsidR="007B7DD7">
        <w:rPr>
          <w:rFonts w:ascii="Calibri Light" w:hAnsi="Calibri Light" w:cs="Calibri Light"/>
          <w:color w:val="000000" w:themeColor="text1"/>
          <w:sz w:val="22"/>
          <w:szCs w:val="22"/>
        </w:rPr>
        <w:t>wyraźną zmianę</w:t>
      </w:r>
      <w:r w:rsidRPr="00E20DC8">
        <w:rPr>
          <w:rFonts w:ascii="Calibri Light" w:hAnsi="Calibri Light" w:cs="Calibri Light"/>
          <w:color w:val="000000" w:themeColor="text1"/>
          <w:sz w:val="22"/>
          <w:szCs w:val="22"/>
        </w:rPr>
        <w:t xml:space="preserve"> względem poprzedniej edycji badania (41 proc.). </w:t>
      </w:r>
      <w:r w:rsidR="002A6B3B">
        <w:rPr>
          <w:rFonts w:ascii="Calibri Light" w:hAnsi="Calibri Light" w:cs="Calibri Light"/>
          <w:color w:val="000000" w:themeColor="text1"/>
          <w:sz w:val="22"/>
          <w:szCs w:val="22"/>
        </w:rPr>
        <w:t>Z kolei</w:t>
      </w:r>
      <w:r w:rsidR="002A6B3B" w:rsidRPr="00E20DC8">
        <w:rPr>
          <w:rFonts w:ascii="Calibri Light" w:hAnsi="Calibri Light" w:cs="Calibri Light"/>
          <w:color w:val="000000" w:themeColor="text1"/>
          <w:sz w:val="22"/>
          <w:szCs w:val="22"/>
        </w:rPr>
        <w:t xml:space="preserve"> </w:t>
      </w:r>
      <w:r w:rsidRPr="00E20DC8">
        <w:rPr>
          <w:rFonts w:ascii="Calibri Light" w:hAnsi="Calibri Light" w:cs="Calibri Light"/>
          <w:color w:val="000000" w:themeColor="text1"/>
          <w:sz w:val="22"/>
          <w:szCs w:val="22"/>
        </w:rPr>
        <w:t xml:space="preserve">odsetek </w:t>
      </w:r>
      <w:r w:rsidR="00850DD0">
        <w:rPr>
          <w:rFonts w:ascii="Calibri Light" w:hAnsi="Calibri Light" w:cs="Calibri Light"/>
          <w:color w:val="000000" w:themeColor="text1"/>
          <w:sz w:val="22"/>
          <w:szCs w:val="22"/>
        </w:rPr>
        <w:t>respondentów</w:t>
      </w:r>
      <w:r w:rsidR="00850DD0" w:rsidRPr="00E20DC8">
        <w:rPr>
          <w:rFonts w:ascii="Calibri Light" w:hAnsi="Calibri Light" w:cs="Calibri Light"/>
          <w:color w:val="000000" w:themeColor="text1"/>
          <w:sz w:val="22"/>
          <w:szCs w:val="22"/>
        </w:rPr>
        <w:t xml:space="preserve"> </w:t>
      </w:r>
      <w:r w:rsidRPr="00E20DC8">
        <w:rPr>
          <w:rFonts w:ascii="Calibri Light" w:hAnsi="Calibri Light" w:cs="Calibri Light"/>
          <w:color w:val="000000" w:themeColor="text1"/>
          <w:sz w:val="22"/>
          <w:szCs w:val="22"/>
        </w:rPr>
        <w:t>zakładających pogorszenie wyników finansowych pozostaje na niskim poziomie</w:t>
      </w:r>
      <w:r w:rsidR="00191079">
        <w:rPr>
          <w:rFonts w:ascii="Calibri Light" w:hAnsi="Calibri Light" w:cs="Calibri Light"/>
          <w:color w:val="000000" w:themeColor="text1"/>
          <w:sz w:val="22"/>
          <w:szCs w:val="22"/>
        </w:rPr>
        <w:t xml:space="preserve"> –</w:t>
      </w:r>
      <w:r w:rsidRPr="00E20DC8">
        <w:rPr>
          <w:rFonts w:ascii="Calibri Light" w:hAnsi="Calibri Light" w:cs="Calibri Light"/>
          <w:color w:val="000000" w:themeColor="text1"/>
          <w:sz w:val="22"/>
          <w:szCs w:val="22"/>
        </w:rPr>
        <w:t xml:space="preserve"> 7 proc.</w:t>
      </w:r>
    </w:p>
    <w:p w14:paraId="7DE13479" w14:textId="77777777" w:rsidR="00343535" w:rsidRDefault="00343535" w:rsidP="00572CA8">
      <w:pPr>
        <w:spacing w:after="120" w:line="240" w:lineRule="auto"/>
        <w:rPr>
          <w:rFonts w:ascii="Calibri Light" w:hAnsi="Calibri Light" w:cs="Calibri Light"/>
          <w:b/>
          <w:bCs/>
          <w:color w:val="000000" w:themeColor="text1"/>
          <w:sz w:val="22"/>
          <w:szCs w:val="22"/>
        </w:rPr>
      </w:pPr>
      <w:r w:rsidRPr="00343535">
        <w:rPr>
          <w:rFonts w:ascii="Calibri Light" w:hAnsi="Calibri Light" w:cs="Calibri Light"/>
          <w:b/>
          <w:bCs/>
          <w:color w:val="000000" w:themeColor="text1"/>
          <w:sz w:val="22"/>
          <w:szCs w:val="22"/>
        </w:rPr>
        <w:t>Inwestorzy stawiają na liderów rynkowych</w:t>
      </w:r>
    </w:p>
    <w:p w14:paraId="029A5C07" w14:textId="1127EBCC" w:rsidR="00343535" w:rsidRDefault="0044283B" w:rsidP="00BD6E77">
      <w:pPr>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Najnowsze opracowanie Deloitte </w:t>
      </w:r>
      <w:r w:rsidR="00D40C32">
        <w:rPr>
          <w:rFonts w:ascii="Calibri Light" w:hAnsi="Calibri Light" w:cs="Calibri Light"/>
          <w:color w:val="000000" w:themeColor="text1"/>
          <w:sz w:val="22"/>
          <w:szCs w:val="22"/>
        </w:rPr>
        <w:t>uwidacznia także, że p</w:t>
      </w:r>
      <w:r w:rsidR="00D26D4A" w:rsidRPr="00D26D4A">
        <w:rPr>
          <w:rFonts w:ascii="Calibri Light" w:hAnsi="Calibri Light" w:cs="Calibri Light"/>
          <w:color w:val="000000" w:themeColor="text1"/>
          <w:sz w:val="22"/>
          <w:szCs w:val="22"/>
        </w:rPr>
        <w:t>lany dotyczące kupna i sprzedaży aktywów pozostają stabilne. Połowa uczestników badania</w:t>
      </w:r>
      <w:r w:rsidR="00992FB6">
        <w:rPr>
          <w:rFonts w:ascii="Calibri Light" w:hAnsi="Calibri Light" w:cs="Calibri Light"/>
          <w:color w:val="000000" w:themeColor="text1"/>
          <w:sz w:val="22"/>
          <w:szCs w:val="22"/>
        </w:rPr>
        <w:t xml:space="preserve"> </w:t>
      </w:r>
      <w:r w:rsidR="00992FB6" w:rsidRPr="00992FB6">
        <w:rPr>
          <w:rFonts w:ascii="Calibri Light" w:hAnsi="Calibri Light" w:cs="Calibri Light"/>
          <w:color w:val="000000" w:themeColor="text1"/>
          <w:sz w:val="22"/>
          <w:szCs w:val="22"/>
        </w:rPr>
        <w:t>spodziewa si</w:t>
      </w:r>
      <w:r w:rsidR="00992FB6" w:rsidRPr="00992FB6">
        <w:rPr>
          <w:rFonts w:ascii="Calibri Light" w:hAnsi="Calibri Light" w:cs="Calibri Light" w:hint="eastAsia"/>
          <w:color w:val="000000" w:themeColor="text1"/>
          <w:sz w:val="22"/>
          <w:szCs w:val="22"/>
        </w:rPr>
        <w:t>ę</w:t>
      </w:r>
      <w:r w:rsidR="00992FB6" w:rsidRPr="00992FB6">
        <w:rPr>
          <w:rFonts w:ascii="Calibri Light" w:hAnsi="Calibri Light" w:cs="Calibri Light"/>
          <w:color w:val="000000" w:themeColor="text1"/>
          <w:sz w:val="22"/>
          <w:szCs w:val="22"/>
        </w:rPr>
        <w:t xml:space="preserve"> zwi</w:t>
      </w:r>
      <w:r w:rsidR="00992FB6" w:rsidRPr="00992FB6">
        <w:rPr>
          <w:rFonts w:ascii="Calibri Light" w:hAnsi="Calibri Light" w:cs="Calibri Light" w:hint="eastAsia"/>
          <w:color w:val="000000" w:themeColor="text1"/>
          <w:sz w:val="22"/>
          <w:szCs w:val="22"/>
        </w:rPr>
        <w:t>ę</w:t>
      </w:r>
      <w:r w:rsidR="00992FB6" w:rsidRPr="00992FB6">
        <w:rPr>
          <w:rFonts w:ascii="Calibri Light" w:hAnsi="Calibri Light" w:cs="Calibri Light"/>
          <w:color w:val="000000" w:themeColor="text1"/>
          <w:sz w:val="22"/>
          <w:szCs w:val="22"/>
        </w:rPr>
        <w:t>kszenia swojej aktywno</w:t>
      </w:r>
      <w:r w:rsidR="00992FB6" w:rsidRPr="00992FB6">
        <w:rPr>
          <w:rFonts w:ascii="Calibri Light" w:hAnsi="Calibri Light" w:cs="Calibri Light" w:hint="eastAsia"/>
          <w:color w:val="000000" w:themeColor="text1"/>
          <w:sz w:val="22"/>
          <w:szCs w:val="22"/>
        </w:rPr>
        <w:t>ś</w:t>
      </w:r>
      <w:r w:rsidR="00992FB6" w:rsidRPr="00992FB6">
        <w:rPr>
          <w:rFonts w:ascii="Calibri Light" w:hAnsi="Calibri Light" w:cs="Calibri Light"/>
          <w:color w:val="000000" w:themeColor="text1"/>
          <w:sz w:val="22"/>
          <w:szCs w:val="22"/>
        </w:rPr>
        <w:t>ci po stronie zakupowej</w:t>
      </w:r>
      <w:r w:rsidR="00D26D4A" w:rsidRPr="00D26D4A">
        <w:rPr>
          <w:rFonts w:ascii="Calibri Light" w:hAnsi="Calibri Light" w:cs="Calibri Light"/>
          <w:color w:val="000000" w:themeColor="text1"/>
          <w:sz w:val="22"/>
          <w:szCs w:val="22"/>
        </w:rPr>
        <w:t>, natomiast niemal jedna trzecia (29 proc.) zamierza w równym stopniu dzielić swoją aktywność między zakupy a procesy wyjścia z inwestycji. Nieco ponad jedna piąta ankietowanych (22 proc.) zakłada, że w nadchodzącym okresie będzie skupiać się przede wszystkim na sprzedaży posiadanych aktywów</w:t>
      </w:r>
      <w:r w:rsidR="00FC779E">
        <w:rPr>
          <w:rFonts w:ascii="Calibri Light" w:hAnsi="Calibri Light" w:cs="Calibri Light"/>
          <w:color w:val="000000" w:themeColor="text1"/>
          <w:sz w:val="22"/>
          <w:szCs w:val="22"/>
        </w:rPr>
        <w:t>.</w:t>
      </w:r>
    </w:p>
    <w:p w14:paraId="37E49A90" w14:textId="77777777" w:rsidR="00343535" w:rsidRDefault="00343535" w:rsidP="00BD6E77">
      <w:pPr>
        <w:rPr>
          <w:rFonts w:ascii="Calibri Light" w:hAnsi="Calibri Light" w:cs="Calibri Light"/>
          <w:color w:val="000000" w:themeColor="text1"/>
          <w:sz w:val="22"/>
          <w:szCs w:val="22"/>
        </w:rPr>
      </w:pPr>
    </w:p>
    <w:p w14:paraId="12E679D2" w14:textId="106C702E" w:rsidR="0053553E" w:rsidRDefault="001277A5" w:rsidP="00572CA8">
      <w:pPr>
        <w:spacing w:after="120" w:line="240" w:lineRule="auto"/>
        <w:rPr>
          <w:rFonts w:ascii="Calibri Light" w:hAnsi="Calibri Light" w:cs="Calibri Light"/>
          <w:color w:val="000000" w:themeColor="text1"/>
          <w:sz w:val="22"/>
          <w:szCs w:val="22"/>
        </w:rPr>
      </w:pPr>
      <w:r w:rsidRPr="001277A5">
        <w:rPr>
          <w:rFonts w:ascii="Calibri Light" w:hAnsi="Calibri Light" w:cs="Calibri Light"/>
          <w:color w:val="000000" w:themeColor="text1"/>
          <w:sz w:val="22"/>
          <w:szCs w:val="22"/>
        </w:rPr>
        <w:t>Niezmiennie rośnie zainteresowanie spółkami o ugruntowanej pozycji rynkowej. Już 61 proc. respondentów przewiduje, że to liderzy rynkowi będą budzić największą konkurencję inwestycyjną, co odzwierciedla dążenie do stabilności w obliczu globalnych zmian handlowych. Na drugim miejscu znalazły się średniej wielkości firmy wzrostowe (31 proc., spadek z 39 proc.)</w:t>
      </w:r>
      <w:r w:rsidR="00743B77">
        <w:rPr>
          <w:rFonts w:ascii="Calibri Light" w:hAnsi="Calibri Light" w:cs="Calibri Light"/>
          <w:color w:val="000000" w:themeColor="text1"/>
          <w:sz w:val="22"/>
          <w:szCs w:val="22"/>
        </w:rPr>
        <w:t>.</w:t>
      </w:r>
      <w:r w:rsidRPr="001277A5">
        <w:rPr>
          <w:rFonts w:ascii="Calibri Light" w:hAnsi="Calibri Light" w:cs="Calibri Light"/>
          <w:color w:val="000000" w:themeColor="text1"/>
          <w:sz w:val="22"/>
          <w:szCs w:val="22"/>
        </w:rPr>
        <w:t xml:space="preserve"> </w:t>
      </w:r>
    </w:p>
    <w:p w14:paraId="707189C4" w14:textId="08491172" w:rsidR="00FC779E" w:rsidRPr="00C915FB" w:rsidRDefault="00AC1105" w:rsidP="00572CA8">
      <w:pPr>
        <w:spacing w:after="120" w:line="240" w:lineRule="auto"/>
        <w:rPr>
          <w:rFonts w:ascii="Calibri Light" w:hAnsi="Calibri Light" w:cs="Calibri Light"/>
          <w:b/>
          <w:bCs/>
          <w:color w:val="000000" w:themeColor="text1"/>
          <w:sz w:val="22"/>
          <w:szCs w:val="22"/>
        </w:rPr>
      </w:pPr>
      <w:r w:rsidRPr="00C915FB">
        <w:rPr>
          <w:rFonts w:ascii="Calibri Light" w:hAnsi="Calibri Light" w:cs="Calibri Light"/>
          <w:b/>
          <w:bCs/>
          <w:color w:val="000000" w:themeColor="text1"/>
          <w:sz w:val="22"/>
          <w:szCs w:val="22"/>
        </w:rPr>
        <w:lastRenderedPageBreak/>
        <w:t>Stabilizacja oczekiwań cenowych</w:t>
      </w:r>
    </w:p>
    <w:p w14:paraId="28B7ED63" w14:textId="10775BCF" w:rsidR="00FC779E" w:rsidRDefault="00D50E44" w:rsidP="00572CA8">
      <w:pPr>
        <w:spacing w:after="120" w:line="240" w:lineRule="auto"/>
        <w:rPr>
          <w:rFonts w:ascii="Calibri Light" w:hAnsi="Calibri Light" w:cs="Calibri Light"/>
          <w:color w:val="000000" w:themeColor="text1"/>
          <w:sz w:val="22"/>
          <w:szCs w:val="22"/>
        </w:rPr>
      </w:pPr>
      <w:r w:rsidRPr="00D50E44">
        <w:rPr>
          <w:rFonts w:ascii="Calibri Light" w:hAnsi="Calibri Light" w:cs="Calibri Light"/>
          <w:color w:val="000000" w:themeColor="text1"/>
          <w:sz w:val="22"/>
          <w:szCs w:val="22"/>
        </w:rPr>
        <w:t xml:space="preserve">Realizację planów transakcyjnych wspiera stabilizacja oczekiwań cenowych sprzedających. Blisko dwie trzecie respondentów (64 proc.) uważa, że w drugiej połowie 2025 roku pozostały one na niezmienionym poziomie, co stanowi wzrost o 14 </w:t>
      </w:r>
      <w:proofErr w:type="spellStart"/>
      <w:r w:rsidRPr="00D50E44">
        <w:rPr>
          <w:rFonts w:ascii="Calibri Light" w:hAnsi="Calibri Light" w:cs="Calibri Light"/>
          <w:color w:val="000000" w:themeColor="text1"/>
          <w:sz w:val="22"/>
          <w:szCs w:val="22"/>
        </w:rPr>
        <w:t>p.p</w:t>
      </w:r>
      <w:proofErr w:type="spellEnd"/>
      <w:r w:rsidRPr="00D50E44">
        <w:rPr>
          <w:rFonts w:ascii="Calibri Light" w:hAnsi="Calibri Light" w:cs="Calibri Light"/>
          <w:color w:val="000000" w:themeColor="text1"/>
          <w:sz w:val="22"/>
          <w:szCs w:val="22"/>
        </w:rPr>
        <w:t>. względem poprzedniego badania. Choć 57 proc. badanych prognozuje</w:t>
      </w:r>
      <w:r w:rsidR="00C26E9D">
        <w:rPr>
          <w:rFonts w:ascii="Calibri Light" w:hAnsi="Calibri Light" w:cs="Calibri Light"/>
          <w:color w:val="000000" w:themeColor="text1"/>
          <w:sz w:val="22"/>
          <w:szCs w:val="22"/>
        </w:rPr>
        <w:t xml:space="preserve"> w 2026 roku</w:t>
      </w:r>
      <w:r w:rsidRPr="00D50E44">
        <w:rPr>
          <w:rFonts w:ascii="Calibri Light" w:hAnsi="Calibri Light" w:cs="Calibri Light"/>
          <w:color w:val="000000" w:themeColor="text1"/>
          <w:sz w:val="22"/>
          <w:szCs w:val="22"/>
        </w:rPr>
        <w:t xml:space="preserve"> utrzymanie obecnych </w:t>
      </w:r>
      <w:r w:rsidR="009E558E">
        <w:rPr>
          <w:rFonts w:ascii="Calibri Light" w:hAnsi="Calibri Light" w:cs="Calibri Light"/>
          <w:color w:val="000000" w:themeColor="text1"/>
          <w:sz w:val="22"/>
          <w:szCs w:val="22"/>
        </w:rPr>
        <w:t>wycen</w:t>
      </w:r>
      <w:r w:rsidRPr="00D50E44">
        <w:rPr>
          <w:rFonts w:ascii="Calibri Light" w:hAnsi="Calibri Light" w:cs="Calibri Light"/>
          <w:color w:val="000000" w:themeColor="text1"/>
          <w:sz w:val="22"/>
          <w:szCs w:val="22"/>
        </w:rPr>
        <w:t>, wzrósł odsetek osób spodziewających się ich wzrostu (z 11 do 17 proc.). Wynika to z lepszego dopasowania właścicieli do realiów rynkowych oraz poprawy kondycji fundamentalnej oferowanych spółek.</w:t>
      </w:r>
    </w:p>
    <w:p w14:paraId="14AFE9C6" w14:textId="3E2EF034" w:rsidR="000A648E" w:rsidRPr="004D1CBD" w:rsidRDefault="00D74109" w:rsidP="00EE4545">
      <w:pPr>
        <w:rPr>
          <w:rFonts w:ascii="Calibri Light" w:hAnsi="Calibri Light" w:cs="Calibri Light"/>
          <w:i/>
          <w:iCs/>
          <w:color w:val="000000" w:themeColor="text1"/>
          <w:sz w:val="22"/>
          <w:szCs w:val="22"/>
        </w:rPr>
      </w:pPr>
      <w:r w:rsidRPr="00D74109">
        <w:rPr>
          <w:rFonts w:ascii="Calibri Light" w:hAnsi="Calibri Light" w:cs="Calibri Light"/>
          <w:color w:val="000000" w:themeColor="text1"/>
          <w:sz w:val="22"/>
          <w:szCs w:val="22"/>
        </w:rPr>
        <w:t xml:space="preserve">– </w:t>
      </w:r>
      <w:r w:rsidR="007A2923" w:rsidRPr="007A2923">
        <w:rPr>
          <w:rFonts w:ascii="Calibri Light" w:hAnsi="Calibri Light" w:cs="Calibri Light"/>
          <w:i/>
          <w:iCs/>
          <w:color w:val="000000" w:themeColor="text1"/>
          <w:sz w:val="22"/>
          <w:szCs w:val="22"/>
        </w:rPr>
        <w:t>Obserwujemy coraz większą spójność między oczekiwaniami sprzedających a realiami rynkowymi. Dłuższa obecność ofert na rynku oraz wsparcie doradców pozwoliły właścicielom firm urealnić swoje podejście, co znacznie ułatwia porozumienie w kwestii wycen. Jednocześnie część przedsiębiorców, która wykorzystała ostatni czas na wzmocnienie fundamentów swoich biznesów, oczekuje teraz wartości odzwierciedlającej ich wyższą jakość. Na chęć zamykania transakcji wpływają też zmieniające się priorytety osobiste właścicieli czy przekształcenia wewnątrz samych organizacji</w:t>
      </w:r>
      <w:r w:rsidR="007A2923">
        <w:rPr>
          <w:rFonts w:ascii="Calibri Light" w:hAnsi="Calibri Light" w:cs="Calibri Light"/>
          <w:i/>
          <w:iCs/>
          <w:color w:val="000000" w:themeColor="text1"/>
          <w:sz w:val="22"/>
          <w:szCs w:val="22"/>
        </w:rPr>
        <w:t xml:space="preserve"> </w:t>
      </w:r>
      <w:r w:rsidR="000A648E" w:rsidRPr="000A648E">
        <w:rPr>
          <w:rFonts w:ascii="Calibri Light" w:hAnsi="Calibri Light" w:cs="Calibri Light"/>
          <w:color w:val="000000" w:themeColor="text1"/>
          <w:sz w:val="22"/>
          <w:szCs w:val="22"/>
        </w:rPr>
        <w:t xml:space="preserve">– </w:t>
      </w:r>
      <w:r w:rsidR="006A1990">
        <w:rPr>
          <w:rFonts w:ascii="Calibri Light" w:hAnsi="Calibri Light" w:cs="Calibri Light"/>
          <w:color w:val="000000" w:themeColor="text1"/>
          <w:sz w:val="22"/>
          <w:szCs w:val="22"/>
        </w:rPr>
        <w:t>podkreśla</w:t>
      </w:r>
      <w:r w:rsidR="006A1990" w:rsidRPr="000A648E">
        <w:rPr>
          <w:rFonts w:ascii="Calibri Light" w:hAnsi="Calibri Light" w:cs="Calibri Light"/>
          <w:color w:val="000000" w:themeColor="text1"/>
          <w:sz w:val="22"/>
          <w:szCs w:val="22"/>
        </w:rPr>
        <w:t xml:space="preserve"> </w:t>
      </w:r>
      <w:r w:rsidR="000A648E" w:rsidRPr="000A648E">
        <w:rPr>
          <w:rFonts w:ascii="Calibri Light" w:hAnsi="Calibri Light" w:cs="Calibri Light"/>
          <w:b/>
          <w:bCs/>
          <w:color w:val="000000" w:themeColor="text1"/>
          <w:sz w:val="22"/>
          <w:szCs w:val="22"/>
        </w:rPr>
        <w:t>Arkadiusz Strasz</w:t>
      </w:r>
      <w:r w:rsidR="000A648E" w:rsidRPr="000A648E">
        <w:rPr>
          <w:rFonts w:ascii="Calibri Light" w:hAnsi="Calibri Light" w:cs="Calibri Light"/>
          <w:color w:val="000000" w:themeColor="text1"/>
          <w:sz w:val="22"/>
          <w:szCs w:val="22"/>
        </w:rPr>
        <w:t xml:space="preserve">, partner </w:t>
      </w:r>
      <w:r w:rsidR="00C454B6">
        <w:rPr>
          <w:rFonts w:ascii="Calibri Light" w:hAnsi="Calibri Light" w:cs="Calibri Light"/>
          <w:color w:val="000000" w:themeColor="text1"/>
          <w:sz w:val="22"/>
          <w:szCs w:val="22"/>
        </w:rPr>
        <w:t xml:space="preserve">w dziale </w:t>
      </w:r>
      <w:proofErr w:type="spellStart"/>
      <w:r w:rsidR="00C454B6">
        <w:rPr>
          <w:rFonts w:ascii="Calibri Light" w:hAnsi="Calibri Light" w:cs="Calibri Light"/>
          <w:color w:val="000000" w:themeColor="text1"/>
          <w:sz w:val="22"/>
          <w:szCs w:val="22"/>
        </w:rPr>
        <w:t>Advisory</w:t>
      </w:r>
      <w:proofErr w:type="spellEnd"/>
      <w:r w:rsidR="000A648E" w:rsidRPr="000A648E">
        <w:rPr>
          <w:rFonts w:ascii="Calibri Light" w:hAnsi="Calibri Light" w:cs="Calibri Light"/>
          <w:color w:val="000000" w:themeColor="text1"/>
          <w:sz w:val="22"/>
          <w:szCs w:val="22"/>
        </w:rPr>
        <w:t xml:space="preserve">, M&amp;A </w:t>
      </w:r>
      <w:proofErr w:type="spellStart"/>
      <w:r w:rsidR="000A648E" w:rsidRPr="000A648E">
        <w:rPr>
          <w:rFonts w:ascii="Calibri Light" w:hAnsi="Calibri Light" w:cs="Calibri Light"/>
          <w:color w:val="000000" w:themeColor="text1"/>
          <w:sz w:val="22"/>
          <w:szCs w:val="22"/>
        </w:rPr>
        <w:t>Transaction</w:t>
      </w:r>
      <w:proofErr w:type="spellEnd"/>
      <w:r w:rsidR="000A648E" w:rsidRPr="000A648E">
        <w:rPr>
          <w:rFonts w:ascii="Calibri Light" w:hAnsi="Calibri Light" w:cs="Calibri Light"/>
          <w:color w:val="000000" w:themeColor="text1"/>
          <w:sz w:val="22"/>
          <w:szCs w:val="22"/>
        </w:rPr>
        <w:t xml:space="preserve"> Services</w:t>
      </w:r>
      <w:r w:rsidR="00C454B6">
        <w:rPr>
          <w:rFonts w:ascii="Calibri Light" w:hAnsi="Calibri Light" w:cs="Calibri Light"/>
          <w:color w:val="000000" w:themeColor="text1"/>
          <w:sz w:val="22"/>
          <w:szCs w:val="22"/>
        </w:rPr>
        <w:t>, Deloitte</w:t>
      </w:r>
      <w:r w:rsidR="000A648E" w:rsidRPr="000A648E">
        <w:rPr>
          <w:rFonts w:ascii="Calibri Light" w:hAnsi="Calibri Light" w:cs="Calibri Light"/>
          <w:color w:val="000000" w:themeColor="text1"/>
          <w:sz w:val="22"/>
          <w:szCs w:val="22"/>
        </w:rPr>
        <w:t>.</w:t>
      </w:r>
    </w:p>
    <w:p w14:paraId="365D9A38" w14:textId="77777777" w:rsidR="00785BF8" w:rsidRDefault="00785BF8" w:rsidP="00EE4545">
      <w:pPr>
        <w:rPr>
          <w:rFonts w:ascii="Calibri Light" w:hAnsi="Calibri Light" w:cs="Calibri Light"/>
          <w:color w:val="000000" w:themeColor="text1"/>
          <w:sz w:val="22"/>
          <w:szCs w:val="22"/>
        </w:rPr>
      </w:pPr>
    </w:p>
    <w:p w14:paraId="5AFE32C2" w14:textId="55D9D82A" w:rsidR="00CE778D" w:rsidRDefault="0006751F" w:rsidP="000D2C28">
      <w:pPr>
        <w:rPr>
          <w:rFonts w:ascii="Calibri Light" w:hAnsi="Calibri Light" w:cs="Calibri Light"/>
          <w:color w:val="000000" w:themeColor="text1"/>
          <w:sz w:val="22"/>
          <w:szCs w:val="22"/>
        </w:rPr>
      </w:pPr>
      <w:r w:rsidRPr="0006751F">
        <w:rPr>
          <w:rFonts w:ascii="Calibri Light" w:hAnsi="Calibri Light" w:cs="Calibri Light"/>
          <w:color w:val="000000" w:themeColor="text1"/>
          <w:sz w:val="22"/>
          <w:szCs w:val="22"/>
        </w:rPr>
        <w:t>W zimowej edycji badania przyjrzano się również zewnętrznym czynnikom kształtującym rynek oraz efektywności projektów zrealizowanych w ostatnich latach. W kwestii wpływu zmian fiskalnych w USA głosy inwestorów są podzielone: podczas gdy większość (61 proc.) liczy na ostateczną stabilizację sytuacji, niemal co czwarty badany (39 proc.) już teraz dostrzega wpływ tych przekształceń na swoje fundusze. Równolegle inwestorzy podsumowa</w:t>
      </w:r>
      <w:r w:rsidR="00BB40F6">
        <w:rPr>
          <w:rFonts w:ascii="Calibri Light" w:hAnsi="Calibri Light" w:cs="Calibri Light"/>
          <w:color w:val="000000" w:themeColor="text1"/>
          <w:sz w:val="22"/>
          <w:szCs w:val="22"/>
        </w:rPr>
        <w:t>li</w:t>
      </w:r>
      <w:r w:rsidRPr="0006751F">
        <w:rPr>
          <w:rFonts w:ascii="Calibri Light" w:hAnsi="Calibri Light" w:cs="Calibri Light"/>
          <w:color w:val="000000" w:themeColor="text1"/>
          <w:sz w:val="22"/>
          <w:szCs w:val="22"/>
        </w:rPr>
        <w:t xml:space="preserve"> projekt</w:t>
      </w:r>
      <w:r w:rsidR="00BB40F6">
        <w:rPr>
          <w:rFonts w:ascii="Calibri Light" w:hAnsi="Calibri Light" w:cs="Calibri Light"/>
          <w:color w:val="000000" w:themeColor="text1"/>
          <w:sz w:val="22"/>
          <w:szCs w:val="22"/>
        </w:rPr>
        <w:t>y</w:t>
      </w:r>
      <w:r w:rsidRPr="0006751F">
        <w:rPr>
          <w:rFonts w:ascii="Calibri Light" w:hAnsi="Calibri Light" w:cs="Calibri Light"/>
          <w:color w:val="000000" w:themeColor="text1"/>
          <w:sz w:val="22"/>
          <w:szCs w:val="22"/>
        </w:rPr>
        <w:t xml:space="preserve"> </w:t>
      </w:r>
      <w:r w:rsidR="00BB40F6" w:rsidRPr="0006751F">
        <w:rPr>
          <w:rFonts w:ascii="Calibri Light" w:hAnsi="Calibri Light" w:cs="Calibri Light"/>
          <w:color w:val="000000" w:themeColor="text1"/>
          <w:sz w:val="22"/>
          <w:szCs w:val="22"/>
        </w:rPr>
        <w:t>rozpoczęt</w:t>
      </w:r>
      <w:r w:rsidR="00BB40F6">
        <w:rPr>
          <w:rFonts w:ascii="Calibri Light" w:hAnsi="Calibri Light" w:cs="Calibri Light"/>
          <w:color w:val="000000" w:themeColor="text1"/>
          <w:sz w:val="22"/>
          <w:szCs w:val="22"/>
        </w:rPr>
        <w:t>e</w:t>
      </w:r>
      <w:r w:rsidR="00BB40F6" w:rsidRPr="0006751F">
        <w:rPr>
          <w:rFonts w:ascii="Calibri Light" w:hAnsi="Calibri Light" w:cs="Calibri Light"/>
          <w:color w:val="000000" w:themeColor="text1"/>
          <w:sz w:val="22"/>
          <w:szCs w:val="22"/>
        </w:rPr>
        <w:t xml:space="preserve"> </w:t>
      </w:r>
      <w:r w:rsidRPr="0006751F">
        <w:rPr>
          <w:rFonts w:ascii="Calibri Light" w:hAnsi="Calibri Light" w:cs="Calibri Light"/>
          <w:color w:val="000000" w:themeColor="text1"/>
          <w:sz w:val="22"/>
          <w:szCs w:val="22"/>
        </w:rPr>
        <w:t xml:space="preserve">w okresie pandemii. Choć blisko połowa portfeli (49 proc.) rozwija się zgodnie z założeniami, to co trzecia inwestycja (33 proc.) dostarcza wyniki poniżej oczekiwań, a </w:t>
      </w:r>
      <w:r w:rsidR="00303239">
        <w:rPr>
          <w:rFonts w:ascii="Calibri Light" w:hAnsi="Calibri Light" w:cs="Calibri Light"/>
          <w:color w:val="000000" w:themeColor="text1"/>
          <w:sz w:val="22"/>
          <w:szCs w:val="22"/>
        </w:rPr>
        <w:t>niemal jedna</w:t>
      </w:r>
      <w:r w:rsidR="00303239" w:rsidRPr="0006751F">
        <w:rPr>
          <w:rFonts w:ascii="Calibri Light" w:hAnsi="Calibri Light" w:cs="Calibri Light"/>
          <w:color w:val="000000" w:themeColor="text1"/>
          <w:sz w:val="22"/>
          <w:szCs w:val="22"/>
        </w:rPr>
        <w:t xml:space="preserve"> </w:t>
      </w:r>
      <w:r w:rsidRPr="0006751F">
        <w:rPr>
          <w:rFonts w:ascii="Calibri Light" w:hAnsi="Calibri Light" w:cs="Calibri Light"/>
          <w:color w:val="000000" w:themeColor="text1"/>
          <w:sz w:val="22"/>
          <w:szCs w:val="22"/>
        </w:rPr>
        <w:t>piąta (18 proc.) je przewyższa.</w:t>
      </w:r>
    </w:p>
    <w:p w14:paraId="0285092E" w14:textId="77777777" w:rsidR="000D2C28" w:rsidRDefault="000D2C28" w:rsidP="000D2C28">
      <w:pPr>
        <w:rPr>
          <w:rFonts w:ascii="Calibri Light" w:hAnsi="Calibri Light" w:cs="Calibri Light"/>
          <w:color w:val="000000" w:themeColor="text1"/>
          <w:sz w:val="22"/>
          <w:szCs w:val="22"/>
        </w:rPr>
      </w:pPr>
    </w:p>
    <w:p w14:paraId="6AB3F2C8" w14:textId="32BD23B9" w:rsidR="00DF09F3" w:rsidRPr="00EC57C1" w:rsidRDefault="00DF09F3" w:rsidP="00DF09F3">
      <w:pPr>
        <w:spacing w:after="120" w:line="240" w:lineRule="auto"/>
        <w:rPr>
          <w:rFonts w:ascii="Calibri Light" w:hAnsi="Calibri Light" w:cs="Calibri Light"/>
          <w:color w:val="000000" w:themeColor="text1"/>
          <w:sz w:val="22"/>
          <w:szCs w:val="22"/>
        </w:rPr>
      </w:pPr>
      <w:r w:rsidRPr="00EC57C1">
        <w:rPr>
          <w:rFonts w:ascii="Calibri Light" w:hAnsi="Calibri Light" w:cs="Calibri Light"/>
          <w:color w:val="000000" w:themeColor="text1"/>
          <w:sz w:val="22"/>
          <w:szCs w:val="22"/>
        </w:rPr>
        <w:t>Pe</w:t>
      </w:r>
      <w:r w:rsidRPr="00D633B3">
        <w:rPr>
          <w:rFonts w:ascii="Calibri Light" w:hAnsi="Calibri Light" w:cs="Calibri Light"/>
          <w:color w:val="000000" w:themeColor="text1"/>
          <w:sz w:val="22"/>
          <w:szCs w:val="22"/>
        </w:rPr>
        <w:t>ł</w:t>
      </w:r>
      <w:r w:rsidRPr="00EC57C1">
        <w:rPr>
          <w:rFonts w:ascii="Calibri Light" w:hAnsi="Calibri Light" w:cs="Calibri Light"/>
          <w:color w:val="000000" w:themeColor="text1"/>
          <w:sz w:val="22"/>
          <w:szCs w:val="22"/>
        </w:rPr>
        <w:t>ny raport do pobrania znajduje si</w:t>
      </w:r>
      <w:r w:rsidRPr="00D633B3">
        <w:rPr>
          <w:rFonts w:ascii="Calibri Light" w:hAnsi="Calibri Light" w:cs="Calibri Light"/>
          <w:color w:val="000000" w:themeColor="text1"/>
          <w:sz w:val="22"/>
          <w:szCs w:val="22"/>
        </w:rPr>
        <w:t>ę</w:t>
      </w:r>
      <w:r w:rsidRPr="00EC57C1">
        <w:rPr>
          <w:rFonts w:ascii="Calibri Light" w:hAnsi="Calibri Light" w:cs="Calibri Light"/>
          <w:color w:val="000000" w:themeColor="text1"/>
          <w:sz w:val="22"/>
          <w:szCs w:val="22"/>
        </w:rPr>
        <w:t xml:space="preserve"> </w:t>
      </w:r>
      <w:hyperlink r:id="rId14" w:history="1">
        <w:r w:rsidR="0006751F" w:rsidRPr="00490D00">
          <w:rPr>
            <w:rStyle w:val="Hipercze"/>
            <w:rFonts w:ascii="Calibri Light" w:hAnsi="Calibri Light" w:cs="Calibri Light"/>
          </w:rPr>
          <w:t>tutaj</w:t>
        </w:r>
      </w:hyperlink>
      <w:r w:rsidRPr="00EC57C1">
        <w:rPr>
          <w:rFonts w:ascii="Calibri Light" w:hAnsi="Calibri Light" w:cs="Calibri Light"/>
          <w:color w:val="000000" w:themeColor="text1"/>
          <w:sz w:val="22"/>
          <w:szCs w:val="22"/>
        </w:rPr>
        <w:t>.</w:t>
      </w:r>
    </w:p>
    <w:p w14:paraId="1475C138" w14:textId="77777777" w:rsidR="00DF09F3" w:rsidRDefault="00DF09F3" w:rsidP="00DF09F3">
      <w:pPr>
        <w:spacing w:after="120" w:line="240" w:lineRule="auto"/>
        <w:rPr>
          <w:rFonts w:ascii="Calibri Light" w:hAnsi="Calibri Light" w:cs="Calibri Light"/>
          <w:color w:val="000000" w:themeColor="text1"/>
          <w:sz w:val="22"/>
          <w:szCs w:val="22"/>
        </w:rPr>
      </w:pPr>
    </w:p>
    <w:p w14:paraId="168E0203" w14:textId="747F96A5" w:rsidR="00D57DB5" w:rsidRPr="00547ABB" w:rsidRDefault="00D57DB5" w:rsidP="00DF09F3">
      <w:pPr>
        <w:spacing w:after="120" w:line="240" w:lineRule="auto"/>
        <w:rPr>
          <w:rFonts w:ascii="Calibri Light" w:hAnsi="Calibri Light" w:cs="Calibri Light"/>
          <w:b/>
          <w:bCs/>
          <w:color w:val="000000" w:themeColor="text1"/>
        </w:rPr>
      </w:pPr>
      <w:r w:rsidRPr="00547ABB">
        <w:rPr>
          <w:rFonts w:ascii="Calibri Light" w:hAnsi="Calibri Light" w:cs="Calibri Light"/>
          <w:b/>
          <w:bCs/>
          <w:color w:val="000000" w:themeColor="text1"/>
        </w:rPr>
        <w:t>O badaniu</w:t>
      </w:r>
    </w:p>
    <w:p w14:paraId="33FD506B" w14:textId="174BBFFE" w:rsidR="0065384F" w:rsidRPr="00D633B3" w:rsidRDefault="00FF6D99" w:rsidP="00FF6D99">
      <w:pPr>
        <w:spacing w:after="120" w:line="240" w:lineRule="auto"/>
        <w:rPr>
          <w:rFonts w:ascii="Calibri Light" w:hAnsi="Calibri Light" w:cs="Calibri Light"/>
          <w:color w:val="000000" w:themeColor="text1"/>
        </w:rPr>
      </w:pPr>
      <w:r w:rsidRPr="00D633B3">
        <w:rPr>
          <w:rFonts w:ascii="Calibri Light" w:hAnsi="Calibri Light" w:cs="Calibri Light"/>
          <w:color w:val="000000" w:themeColor="text1"/>
        </w:rPr>
        <w:t xml:space="preserve">Badanie CE PE </w:t>
      </w:r>
      <w:proofErr w:type="spellStart"/>
      <w:r w:rsidRPr="00D633B3">
        <w:rPr>
          <w:rFonts w:ascii="Calibri Light" w:hAnsi="Calibri Light" w:cs="Calibri Light"/>
          <w:color w:val="000000" w:themeColor="text1"/>
        </w:rPr>
        <w:t>Confidence</w:t>
      </w:r>
      <w:proofErr w:type="spellEnd"/>
      <w:r w:rsidRPr="00D633B3">
        <w:rPr>
          <w:rFonts w:ascii="Calibri Light" w:hAnsi="Calibri Light" w:cs="Calibri Light"/>
          <w:color w:val="000000" w:themeColor="text1"/>
        </w:rPr>
        <w:t xml:space="preserve"> </w:t>
      </w:r>
      <w:proofErr w:type="spellStart"/>
      <w:r w:rsidRPr="00D633B3">
        <w:rPr>
          <w:rFonts w:ascii="Calibri Light" w:hAnsi="Calibri Light" w:cs="Calibri Light"/>
          <w:color w:val="000000" w:themeColor="text1"/>
        </w:rPr>
        <w:t>Survey</w:t>
      </w:r>
      <w:proofErr w:type="spellEnd"/>
      <w:r w:rsidRPr="00D633B3">
        <w:rPr>
          <w:rFonts w:ascii="Calibri Light" w:hAnsi="Calibri Light" w:cs="Calibri Light"/>
          <w:color w:val="000000" w:themeColor="text1"/>
        </w:rPr>
        <w:t xml:space="preserve"> od 2003 r. co 6 miesi</w:t>
      </w:r>
      <w:r w:rsidRPr="00D633B3">
        <w:rPr>
          <w:rFonts w:ascii="Calibri Light" w:hAnsi="Calibri Light" w:cs="Calibri Light" w:hint="eastAsia"/>
          <w:color w:val="000000" w:themeColor="text1"/>
        </w:rPr>
        <w:t>ę</w:t>
      </w:r>
      <w:r w:rsidRPr="00D633B3">
        <w:rPr>
          <w:rFonts w:ascii="Calibri Light" w:hAnsi="Calibri Light" w:cs="Calibri Light"/>
          <w:color w:val="000000" w:themeColor="text1"/>
        </w:rPr>
        <w:t xml:space="preserve">cy </w:t>
      </w:r>
      <w:r w:rsidRPr="00D633B3">
        <w:rPr>
          <w:rFonts w:ascii="Calibri Light" w:hAnsi="Calibri Light" w:cs="Calibri Light" w:hint="eastAsia"/>
          <w:color w:val="000000" w:themeColor="text1"/>
        </w:rPr>
        <w:t>ś</w:t>
      </w:r>
      <w:r w:rsidRPr="00D633B3">
        <w:rPr>
          <w:rFonts w:ascii="Calibri Light" w:hAnsi="Calibri Light" w:cs="Calibri Light"/>
          <w:color w:val="000000" w:themeColor="text1"/>
        </w:rPr>
        <w:t>ledzi zmieniaj</w:t>
      </w:r>
      <w:r w:rsidRPr="00D633B3">
        <w:rPr>
          <w:rFonts w:ascii="Calibri Light" w:hAnsi="Calibri Light" w:cs="Calibri Light" w:hint="eastAsia"/>
          <w:color w:val="000000" w:themeColor="text1"/>
        </w:rPr>
        <w:t>ą</w:t>
      </w:r>
      <w:r w:rsidRPr="00D633B3">
        <w:rPr>
          <w:rFonts w:ascii="Calibri Light" w:hAnsi="Calibri Light" w:cs="Calibri Light"/>
          <w:color w:val="000000" w:themeColor="text1"/>
        </w:rPr>
        <w:t>ce si</w:t>
      </w:r>
      <w:r w:rsidRPr="00D633B3">
        <w:rPr>
          <w:rFonts w:ascii="Calibri Light" w:hAnsi="Calibri Light" w:cs="Calibri Light" w:hint="eastAsia"/>
          <w:color w:val="000000" w:themeColor="text1"/>
        </w:rPr>
        <w:t>ę</w:t>
      </w:r>
      <w:r w:rsidRPr="00D633B3">
        <w:rPr>
          <w:rFonts w:ascii="Calibri Light" w:hAnsi="Calibri Light" w:cs="Calibri Light"/>
          <w:color w:val="000000" w:themeColor="text1"/>
        </w:rPr>
        <w:t xml:space="preserve"> nastroje inwestor</w:t>
      </w:r>
      <w:r w:rsidRPr="00D633B3">
        <w:rPr>
          <w:rFonts w:ascii="Calibri Light" w:hAnsi="Calibri Light" w:cs="Calibri Light" w:hint="eastAsia"/>
          <w:color w:val="000000" w:themeColor="text1"/>
        </w:rPr>
        <w:t>ó</w:t>
      </w:r>
      <w:r w:rsidRPr="00D633B3">
        <w:rPr>
          <w:rFonts w:ascii="Calibri Light" w:hAnsi="Calibri Light" w:cs="Calibri Light"/>
          <w:color w:val="000000" w:themeColor="text1"/>
        </w:rPr>
        <w:t xml:space="preserve">w w Europie </w:t>
      </w:r>
      <w:r w:rsidRPr="00D633B3">
        <w:rPr>
          <w:rFonts w:ascii="Calibri Light" w:hAnsi="Calibri Light" w:cs="Calibri Light" w:hint="eastAsia"/>
          <w:color w:val="000000" w:themeColor="text1"/>
        </w:rPr>
        <w:t>Ś</w:t>
      </w:r>
      <w:r w:rsidRPr="00D633B3">
        <w:rPr>
          <w:rFonts w:ascii="Calibri Light" w:hAnsi="Calibri Light" w:cs="Calibri Light"/>
          <w:color w:val="000000" w:themeColor="text1"/>
        </w:rPr>
        <w:t xml:space="preserve">rodkowej. </w:t>
      </w:r>
      <w:r w:rsidR="00DE0F9E" w:rsidRPr="00D633B3">
        <w:rPr>
          <w:rFonts w:ascii="Calibri Light" w:hAnsi="Calibri Light" w:cs="Calibri Light"/>
          <w:color w:val="000000" w:themeColor="text1"/>
        </w:rPr>
        <w:t>Obecna edycja skupia si</w:t>
      </w:r>
      <w:r w:rsidR="00DE0F9E" w:rsidRPr="00D633B3">
        <w:rPr>
          <w:rFonts w:ascii="Calibri Light" w:hAnsi="Calibri Light" w:cs="Calibri Light" w:hint="eastAsia"/>
          <w:color w:val="000000" w:themeColor="text1"/>
        </w:rPr>
        <w:t>ę</w:t>
      </w:r>
      <w:r w:rsidR="00DE0F9E" w:rsidRPr="00D633B3">
        <w:rPr>
          <w:rFonts w:ascii="Calibri Light" w:hAnsi="Calibri Light" w:cs="Calibri Light"/>
          <w:color w:val="000000" w:themeColor="text1"/>
        </w:rPr>
        <w:t xml:space="preserve"> na ich oczekiwaniach na </w:t>
      </w:r>
      <w:r w:rsidR="00891902" w:rsidRPr="00D633B3">
        <w:rPr>
          <w:rFonts w:ascii="Calibri Light" w:hAnsi="Calibri Light" w:cs="Calibri Light"/>
          <w:color w:val="000000" w:themeColor="text1"/>
        </w:rPr>
        <w:t xml:space="preserve">pierwszą </w:t>
      </w:r>
      <w:r w:rsidR="00DE0F9E" w:rsidRPr="00D633B3">
        <w:rPr>
          <w:rFonts w:ascii="Calibri Light" w:hAnsi="Calibri Light" w:cs="Calibri Light"/>
          <w:color w:val="000000" w:themeColor="text1"/>
        </w:rPr>
        <w:t>po</w:t>
      </w:r>
      <w:r w:rsidR="00DE0F9E" w:rsidRPr="00D633B3">
        <w:rPr>
          <w:rFonts w:ascii="Calibri Light" w:hAnsi="Calibri Light" w:cs="Calibri Light" w:hint="eastAsia"/>
          <w:color w:val="000000" w:themeColor="text1"/>
        </w:rPr>
        <w:t>ł</w:t>
      </w:r>
      <w:r w:rsidR="00DE0F9E" w:rsidRPr="00D633B3">
        <w:rPr>
          <w:rFonts w:ascii="Calibri Light" w:hAnsi="Calibri Light" w:cs="Calibri Light"/>
          <w:color w:val="000000" w:themeColor="text1"/>
        </w:rPr>
        <w:t>ow</w:t>
      </w:r>
      <w:r w:rsidR="00DE0F9E" w:rsidRPr="00D633B3">
        <w:rPr>
          <w:rFonts w:ascii="Calibri Light" w:hAnsi="Calibri Light" w:cs="Calibri Light" w:hint="eastAsia"/>
          <w:color w:val="000000" w:themeColor="text1"/>
        </w:rPr>
        <w:t>ę</w:t>
      </w:r>
      <w:r w:rsidR="00DE0F9E" w:rsidRPr="00D633B3">
        <w:rPr>
          <w:rFonts w:ascii="Calibri Light" w:hAnsi="Calibri Light" w:cs="Calibri Light"/>
          <w:color w:val="000000" w:themeColor="text1"/>
        </w:rPr>
        <w:t xml:space="preserve"> 202</w:t>
      </w:r>
      <w:r w:rsidR="00891902" w:rsidRPr="00D633B3">
        <w:rPr>
          <w:rFonts w:ascii="Calibri Light" w:hAnsi="Calibri Light" w:cs="Calibri Light"/>
          <w:color w:val="000000" w:themeColor="text1"/>
        </w:rPr>
        <w:t>6</w:t>
      </w:r>
      <w:r w:rsidR="00DE0F9E" w:rsidRPr="00D633B3">
        <w:rPr>
          <w:rFonts w:ascii="Calibri Light" w:hAnsi="Calibri Light" w:cs="Calibri Light"/>
          <w:color w:val="000000" w:themeColor="text1"/>
        </w:rPr>
        <w:t xml:space="preserve"> r. </w:t>
      </w:r>
    </w:p>
    <w:p w14:paraId="715827B9" w14:textId="0493EC98" w:rsidR="00090437" w:rsidRDefault="0065384F" w:rsidP="00FF6D99">
      <w:pPr>
        <w:spacing w:after="120" w:line="240" w:lineRule="auto"/>
        <w:rPr>
          <w:rFonts w:ascii="Calibri Light" w:hAnsi="Calibri Light" w:cs="Calibri Light"/>
          <w:color w:val="000000" w:themeColor="text1"/>
        </w:rPr>
      </w:pPr>
      <w:r w:rsidRPr="00D633B3">
        <w:rPr>
          <w:rFonts w:ascii="Calibri Light" w:hAnsi="Calibri Light" w:cs="Calibri Light"/>
          <w:color w:val="000000" w:themeColor="text1"/>
        </w:rPr>
        <w:t>Na</w:t>
      </w:r>
      <w:r w:rsidRPr="00D633B3">
        <w:rPr>
          <w:rFonts w:ascii="Calibri Light" w:hAnsi="Calibri Light" w:cs="Calibri Light"/>
          <w:b/>
          <w:bCs/>
          <w:color w:val="000000" w:themeColor="text1"/>
        </w:rPr>
        <w:t xml:space="preserve"> </w:t>
      </w:r>
      <w:r w:rsidRPr="00D633B3">
        <w:rPr>
          <w:rFonts w:ascii="Calibri Light" w:hAnsi="Calibri Light" w:cs="Calibri Light"/>
          <w:color w:val="000000" w:themeColor="text1"/>
        </w:rPr>
        <w:t>podstawie zbiorczych wyników kalkulowany jest</w:t>
      </w:r>
      <w:r w:rsidR="00734763" w:rsidRPr="00D633B3">
        <w:rPr>
          <w:rFonts w:ascii="Calibri Light" w:hAnsi="Calibri Light" w:cs="Calibri Light"/>
          <w:color w:val="000000" w:themeColor="text1"/>
        </w:rPr>
        <w:t xml:space="preserve"> tz</w:t>
      </w:r>
      <w:r w:rsidR="0089766F" w:rsidRPr="00D633B3">
        <w:rPr>
          <w:rFonts w:ascii="Calibri Light" w:hAnsi="Calibri Light" w:cs="Calibri Light"/>
          <w:color w:val="000000" w:themeColor="text1"/>
        </w:rPr>
        <w:t>w</w:t>
      </w:r>
      <w:r w:rsidR="00734763" w:rsidRPr="00D633B3">
        <w:rPr>
          <w:rFonts w:ascii="Calibri Light" w:hAnsi="Calibri Light" w:cs="Calibri Light"/>
          <w:color w:val="000000" w:themeColor="text1"/>
        </w:rPr>
        <w:t>. „</w:t>
      </w:r>
      <w:proofErr w:type="spellStart"/>
      <w:r w:rsidR="00734763" w:rsidRPr="00D633B3">
        <w:rPr>
          <w:rFonts w:ascii="Calibri Light" w:hAnsi="Calibri Light" w:cs="Calibri Light"/>
          <w:color w:val="000000" w:themeColor="text1"/>
        </w:rPr>
        <w:t>Confidence</w:t>
      </w:r>
      <w:proofErr w:type="spellEnd"/>
      <w:r w:rsidR="00734763" w:rsidRPr="00D633B3">
        <w:rPr>
          <w:rFonts w:ascii="Calibri Light" w:hAnsi="Calibri Light" w:cs="Calibri Light"/>
          <w:color w:val="000000" w:themeColor="text1"/>
        </w:rPr>
        <w:t xml:space="preserve"> Index” - </w:t>
      </w:r>
      <w:r w:rsidRPr="00D633B3">
        <w:rPr>
          <w:rFonts w:ascii="Calibri Light" w:hAnsi="Calibri Light" w:cs="Calibri Light"/>
          <w:color w:val="000000" w:themeColor="text1"/>
        </w:rPr>
        <w:t xml:space="preserve">Indeks </w:t>
      </w:r>
      <w:r w:rsidR="00734763" w:rsidRPr="00D633B3">
        <w:rPr>
          <w:rFonts w:ascii="Calibri Light" w:hAnsi="Calibri Light" w:cs="Calibri Light"/>
          <w:color w:val="000000" w:themeColor="text1"/>
        </w:rPr>
        <w:t>Zaufania</w:t>
      </w:r>
      <w:r w:rsidRPr="00D633B3">
        <w:rPr>
          <w:rFonts w:ascii="Calibri Light" w:hAnsi="Calibri Light" w:cs="Calibri Light"/>
          <w:color w:val="000000" w:themeColor="text1"/>
        </w:rPr>
        <w:t xml:space="preserve">, stanowiący wskaźnik nastrojów wśród zarządzających funduszami Private Equity. Indeks </w:t>
      </w:r>
      <w:r w:rsidR="00734763" w:rsidRPr="00D633B3">
        <w:rPr>
          <w:rFonts w:ascii="Calibri Light" w:hAnsi="Calibri Light" w:cs="Calibri Light"/>
          <w:color w:val="000000" w:themeColor="text1"/>
        </w:rPr>
        <w:t xml:space="preserve">Zaufania </w:t>
      </w:r>
      <w:r w:rsidRPr="00D633B3">
        <w:rPr>
          <w:rFonts w:ascii="Calibri Light" w:hAnsi="Calibri Light" w:cs="Calibri Light"/>
          <w:color w:val="000000" w:themeColor="text1"/>
        </w:rPr>
        <w:t>jest średnią z 7 indeksów uzyskanych z pierwszych 7 pytań ankietowych. Wskaźnik przestawia zmianę odczuć pozytywnych w stosunku do łącznej liczy odpowiedzi pozytywnych i negatywnych (odpowiedzi neutralnie nie są brane pod uwagę) w porównaniu do pierwszej edycji badania z wiosny 2003 r. (wyjściowa baza 100 pkt.). Pytania w ankiecie dotyczą m.in. sytuacji gospodarczej, nastrojów i oczekiwa</w:t>
      </w:r>
      <w:r w:rsidRPr="00D633B3">
        <w:rPr>
          <w:rFonts w:ascii="Calibri Light" w:hAnsi="Calibri Light" w:cs="Calibri Light" w:hint="eastAsia"/>
          <w:color w:val="000000" w:themeColor="text1"/>
        </w:rPr>
        <w:t>ń</w:t>
      </w:r>
      <w:r w:rsidRPr="00D633B3">
        <w:rPr>
          <w:rFonts w:ascii="Calibri Light" w:hAnsi="Calibri Light" w:cs="Calibri Light"/>
          <w:color w:val="000000" w:themeColor="text1"/>
        </w:rPr>
        <w:t xml:space="preserve"> funduszy PE </w:t>
      </w:r>
      <w:r w:rsidR="00C454B6" w:rsidRPr="00D633B3">
        <w:rPr>
          <w:rFonts w:ascii="Calibri Light" w:hAnsi="Calibri Light" w:cs="Calibri Light"/>
          <w:color w:val="000000" w:themeColor="text1"/>
        </w:rPr>
        <w:t>odnośnie do</w:t>
      </w:r>
      <w:r w:rsidRPr="00D633B3">
        <w:rPr>
          <w:rFonts w:ascii="Calibri Light" w:hAnsi="Calibri Light" w:cs="Calibri Light"/>
          <w:color w:val="000000" w:themeColor="text1"/>
        </w:rPr>
        <w:t xml:space="preserve"> rynku transakcyjnego, spodziewanych parametrów transakcyjnych oraz aktywno</w:t>
      </w:r>
      <w:r w:rsidRPr="00D633B3">
        <w:rPr>
          <w:rFonts w:ascii="Calibri Light" w:hAnsi="Calibri Light" w:cs="Calibri Light" w:hint="eastAsia"/>
          <w:color w:val="000000" w:themeColor="text1"/>
        </w:rPr>
        <w:t>ś</w:t>
      </w:r>
      <w:r w:rsidRPr="00D633B3">
        <w:rPr>
          <w:rFonts w:ascii="Calibri Light" w:hAnsi="Calibri Light" w:cs="Calibri Light"/>
          <w:color w:val="000000" w:themeColor="text1"/>
        </w:rPr>
        <w:t>ci funduszy.</w:t>
      </w:r>
      <w:r>
        <w:rPr>
          <w:rFonts w:ascii="Calibri Light" w:hAnsi="Calibri Light" w:cs="Calibri Light"/>
          <w:color w:val="000000" w:themeColor="text1"/>
        </w:rPr>
        <w:t xml:space="preserve"> </w:t>
      </w:r>
    </w:p>
    <w:p w14:paraId="13133BF8" w14:textId="77777777" w:rsidR="00D57DB5" w:rsidRPr="00DF09F3" w:rsidRDefault="00D57DB5" w:rsidP="00DF09F3">
      <w:pPr>
        <w:spacing w:after="120" w:line="240" w:lineRule="auto"/>
        <w:rPr>
          <w:rFonts w:ascii="Calibri Light" w:hAnsi="Calibri Light" w:cs="Calibri Light"/>
          <w:color w:val="000000" w:themeColor="text1"/>
          <w:sz w:val="22"/>
          <w:szCs w:val="22"/>
        </w:rPr>
      </w:pPr>
    </w:p>
    <w:p w14:paraId="04823DAA" w14:textId="77777777" w:rsidR="00DF09F3" w:rsidRPr="00EE1DFF" w:rsidRDefault="00DF09F3" w:rsidP="00DF09F3">
      <w:pPr>
        <w:spacing w:line="240" w:lineRule="auto"/>
        <w:rPr>
          <w:rFonts w:ascii="Calibri Light" w:hAnsi="Calibri Light" w:cs="Calibri Light"/>
          <w:color w:val="000000" w:themeColor="text1"/>
          <w:sz w:val="18"/>
          <w:szCs w:val="18"/>
        </w:rPr>
      </w:pPr>
      <w:r w:rsidRPr="00EE1DFF">
        <w:rPr>
          <w:rFonts w:ascii="Calibri Light" w:hAnsi="Calibri Light" w:cs="Calibri Light"/>
          <w:color w:val="000000" w:themeColor="text1"/>
          <w:sz w:val="18"/>
          <w:szCs w:val="18"/>
        </w:rPr>
        <w:t>Subskrypcja:</w:t>
      </w:r>
    </w:p>
    <w:p w14:paraId="13845EB4" w14:textId="77777777" w:rsidR="00DF09F3" w:rsidRPr="00EE1DFF" w:rsidRDefault="00DF09F3" w:rsidP="00DF09F3">
      <w:pPr>
        <w:spacing w:line="240" w:lineRule="auto"/>
        <w:rPr>
          <w:rFonts w:ascii="Calibri Light" w:hAnsi="Calibri Light" w:cs="Calibri Light"/>
          <w:color w:val="000000" w:themeColor="text1"/>
          <w:sz w:val="18"/>
          <w:szCs w:val="18"/>
        </w:rPr>
      </w:pPr>
      <w:r w:rsidRPr="00EE1DFF">
        <w:rPr>
          <w:rFonts w:ascii="Calibri Light" w:hAnsi="Calibri Light" w:cs="Calibri Light"/>
          <w:color w:val="000000" w:themeColor="text1"/>
          <w:sz w:val="18"/>
          <w:szCs w:val="18"/>
        </w:rPr>
        <w:t>Otrzymuj powiadomienia o kolejnych informacjach prasowych Deloitte na stronie:</w:t>
      </w:r>
    </w:p>
    <w:p w14:paraId="046080E8" w14:textId="15766B9A" w:rsidR="00383B9F" w:rsidRPr="00EE1DFF" w:rsidRDefault="00DF09F3" w:rsidP="00EE1DFF">
      <w:pPr>
        <w:spacing w:line="240" w:lineRule="auto"/>
        <w:rPr>
          <w:rFonts w:ascii="Calibri Light" w:hAnsi="Calibri Light" w:cs="Calibri Light"/>
          <w:color w:val="000000" w:themeColor="text1"/>
          <w:sz w:val="18"/>
          <w:szCs w:val="18"/>
        </w:rPr>
      </w:pPr>
      <w:r w:rsidRPr="00EE1DFF">
        <w:rPr>
          <w:rFonts w:ascii="Calibri Light" w:hAnsi="Calibri Light" w:cs="Calibri Light"/>
          <w:color w:val="000000" w:themeColor="text1"/>
          <w:sz w:val="18"/>
          <w:szCs w:val="18"/>
        </w:rPr>
        <w:t>www.deloitte.com/pl/subskrypcje</w:t>
      </w:r>
    </w:p>
    <w:sectPr w:rsidR="00383B9F" w:rsidRPr="00EE1DFF" w:rsidSect="001076E4">
      <w:headerReference w:type="default" r:id="rId15"/>
      <w:footerReference w:type="default" r:id="rId16"/>
      <w:footerReference w:type="first" r:id="rId17"/>
      <w:pgSz w:w="11901" w:h="16840" w:code="9"/>
      <w:pgMar w:top="2101" w:right="1134" w:bottom="454" w:left="1418" w:header="851" w:footer="44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C30D9" w14:textId="77777777" w:rsidR="0082315B" w:rsidRDefault="0082315B" w:rsidP="00B90A90">
      <w:pPr>
        <w:spacing w:line="240" w:lineRule="auto"/>
      </w:pPr>
      <w:r>
        <w:separator/>
      </w:r>
    </w:p>
  </w:endnote>
  <w:endnote w:type="continuationSeparator" w:id="0">
    <w:p w14:paraId="760E3735" w14:textId="77777777" w:rsidR="0082315B" w:rsidRDefault="0082315B" w:rsidP="00B90A90">
      <w:pPr>
        <w:spacing w:line="240" w:lineRule="auto"/>
      </w:pPr>
      <w:r>
        <w:continuationSeparator/>
      </w:r>
    </w:p>
  </w:endnote>
  <w:endnote w:type="continuationNotice" w:id="1">
    <w:p w14:paraId="436FB6D7" w14:textId="77777777" w:rsidR="0082315B" w:rsidRDefault="008231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45 Light">
    <w:altName w:val="Times New Roman"/>
    <w:charset w:val="00"/>
    <w:family w:val="auto"/>
    <w:pitch w:val="variable"/>
    <w:sig w:usb0="03000000" w:usb1="00000000" w:usb2="00000000" w:usb3="00000000" w:csb0="00000001" w:csb1="00000000"/>
  </w:font>
  <w:font w:name="Times">
    <w:altName w:val="Times"/>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 w:name="Garamond3LTStd">
    <w:altName w:val="Times New Roman"/>
    <w:panose1 w:val="00000000000000000000"/>
    <w:charset w:val="4D"/>
    <w:family w:val="auto"/>
    <w:notTrueType/>
    <w:pitch w:val="default"/>
    <w:sig w:usb0="00000000" w:usb1="00000000" w:usb2="00000000" w:usb3="00000000" w:csb0="00000001" w:csb1="00000000"/>
  </w:font>
  <w:font w:name="FrutigerNextPro-Light">
    <w:altName w:val="Times New Roman"/>
    <w:panose1 w:val="00000000000000000000"/>
    <w:charset w:val="4D"/>
    <w:family w:val="auto"/>
    <w:notTrueType/>
    <w:pitch w:val="default"/>
    <w:sig w:usb0="00000000"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9E14" w14:textId="77777777" w:rsidR="00624B92" w:rsidRDefault="00624B92" w:rsidP="00624B92">
    <w:pPr>
      <w:pStyle w:val="Stopka"/>
      <w:rPr>
        <w:rFonts w:ascii="Calibri Light" w:hAnsi="Calibri Light" w:cs="Calibri Light"/>
      </w:rPr>
    </w:pPr>
  </w:p>
  <w:p w14:paraId="33FDE3A4" w14:textId="75E52F79" w:rsidR="00B90A90" w:rsidRPr="00253135" w:rsidRDefault="00B90A90" w:rsidP="00624B92">
    <w:pPr>
      <w:pStyle w:val="Stopka"/>
      <w:rPr>
        <w:rFonts w:ascii="Arial" w:hAnsi="Arial" w:cs="Arial"/>
        <w:sz w:val="13"/>
        <w:szCs w:val="13"/>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8095" w14:textId="77777777" w:rsidR="00101FE8" w:rsidRDefault="00101FE8">
    <w:pPr>
      <w:pStyle w:val="Amember"/>
      <w:ind w:right="-7"/>
      <w:rPr>
        <w:rFonts w:ascii="Arial" w:hAnsi="Arial" w:cs="Arial"/>
        <w:sz w:val="13"/>
        <w:szCs w:val="13"/>
      </w:rPr>
    </w:pPr>
  </w:p>
  <w:p w14:paraId="00A1CFE5" w14:textId="16533380" w:rsidR="00FD45A7" w:rsidRDefault="001111D6">
    <w:pPr>
      <w:pStyle w:val="Amember"/>
      <w:ind w:right="-7"/>
      <w:rPr>
        <w:rFonts w:ascii="Arial" w:hAnsi="Arial" w:cs="Arial"/>
        <w:sz w:val="13"/>
        <w:szCs w:val="13"/>
      </w:rPr>
    </w:pPr>
    <w:r w:rsidRPr="003729E7">
      <w:rPr>
        <w:rFonts w:ascii="Arial" w:hAnsi="Arial" w:cs="Arial"/>
        <w:sz w:val="13"/>
        <w:szCs w:val="13"/>
      </w:rPr>
      <w:t>Nazwa Deloitte odnosi si</w:t>
    </w:r>
    <w:r w:rsidRPr="003729E7">
      <w:rPr>
        <w:rFonts w:ascii="Arial" w:hAnsi="Arial" w:cs="Arial" w:hint="eastAsia"/>
        <w:sz w:val="13"/>
        <w:szCs w:val="13"/>
      </w:rPr>
      <w:t>ę</w:t>
    </w:r>
    <w:r w:rsidRPr="003729E7">
      <w:rPr>
        <w:rFonts w:ascii="Arial" w:hAnsi="Arial" w:cs="Arial"/>
        <w:sz w:val="13"/>
        <w:szCs w:val="13"/>
      </w:rPr>
      <w:t xml:space="preserve"> do jednej lub kilku jednostek Deloitte </w:t>
    </w:r>
    <w:proofErr w:type="spellStart"/>
    <w:r w:rsidRPr="003729E7">
      <w:rPr>
        <w:rFonts w:ascii="Arial" w:hAnsi="Arial" w:cs="Arial"/>
        <w:sz w:val="13"/>
        <w:szCs w:val="13"/>
      </w:rPr>
      <w:t>Touche</w:t>
    </w:r>
    <w:proofErr w:type="spellEnd"/>
    <w:r w:rsidRPr="003729E7">
      <w:rPr>
        <w:rFonts w:ascii="Arial" w:hAnsi="Arial" w:cs="Arial"/>
        <w:sz w:val="13"/>
        <w:szCs w:val="13"/>
      </w:rPr>
      <w:t xml:space="preserve"> </w:t>
    </w:r>
    <w:proofErr w:type="spellStart"/>
    <w:r w:rsidRPr="003729E7">
      <w:rPr>
        <w:rFonts w:ascii="Arial" w:hAnsi="Arial" w:cs="Arial"/>
        <w:sz w:val="13"/>
        <w:szCs w:val="13"/>
      </w:rPr>
      <w:t>Tohmatsu</w:t>
    </w:r>
    <w:proofErr w:type="spellEnd"/>
    <w:r w:rsidRPr="003729E7">
      <w:rPr>
        <w:rFonts w:ascii="Arial" w:hAnsi="Arial" w:cs="Arial"/>
        <w:sz w:val="13"/>
        <w:szCs w:val="13"/>
      </w:rPr>
      <w:t xml:space="preserve"> Limited, prywatnego podmiotu prawa brytyjskiego z ograniczon</w:t>
    </w:r>
    <w:r w:rsidRPr="003729E7">
      <w:rPr>
        <w:rFonts w:ascii="Arial" w:hAnsi="Arial" w:cs="Arial" w:hint="eastAsia"/>
        <w:sz w:val="13"/>
        <w:szCs w:val="13"/>
      </w:rPr>
      <w:t>ą</w:t>
    </w:r>
    <w:r w:rsidRPr="003729E7">
      <w:rPr>
        <w:rFonts w:ascii="Arial" w:hAnsi="Arial" w:cs="Arial"/>
        <w:sz w:val="13"/>
        <w:szCs w:val="13"/>
      </w:rPr>
      <w:t xml:space="preserve"> odpowiedzialno</w:t>
    </w:r>
    <w:r w:rsidRPr="003729E7">
      <w:rPr>
        <w:rFonts w:ascii="Arial" w:hAnsi="Arial" w:cs="Arial" w:hint="eastAsia"/>
        <w:sz w:val="13"/>
        <w:szCs w:val="13"/>
      </w:rPr>
      <w:t>ś</w:t>
    </w:r>
    <w:r w:rsidRPr="003729E7">
      <w:rPr>
        <w:rFonts w:ascii="Arial" w:hAnsi="Arial" w:cs="Arial"/>
        <w:sz w:val="13"/>
        <w:szCs w:val="13"/>
      </w:rPr>
      <w:t>ci</w:t>
    </w:r>
    <w:r w:rsidRPr="003729E7">
      <w:rPr>
        <w:rFonts w:ascii="Arial" w:hAnsi="Arial" w:cs="Arial" w:hint="eastAsia"/>
        <w:sz w:val="13"/>
        <w:szCs w:val="13"/>
      </w:rPr>
      <w:t>ą</w:t>
    </w:r>
    <w:r w:rsidRPr="003729E7">
      <w:rPr>
        <w:rFonts w:ascii="Arial" w:hAnsi="Arial" w:cs="Arial"/>
        <w:sz w:val="13"/>
        <w:szCs w:val="13"/>
      </w:rPr>
      <w:t xml:space="preserve"> i jego firm cz</w:t>
    </w:r>
    <w:r w:rsidRPr="003729E7">
      <w:rPr>
        <w:rFonts w:ascii="Arial" w:hAnsi="Arial" w:cs="Arial" w:hint="eastAsia"/>
        <w:sz w:val="13"/>
        <w:szCs w:val="13"/>
      </w:rPr>
      <w:t>ł</w:t>
    </w:r>
    <w:r w:rsidRPr="003729E7">
      <w:rPr>
        <w:rFonts w:ascii="Arial" w:hAnsi="Arial" w:cs="Arial"/>
        <w:sz w:val="13"/>
        <w:szCs w:val="13"/>
      </w:rPr>
      <w:t>onkowskich, które stanowi</w:t>
    </w:r>
    <w:r w:rsidRPr="003729E7">
      <w:rPr>
        <w:rFonts w:ascii="Arial" w:hAnsi="Arial" w:cs="Arial" w:hint="eastAsia"/>
        <w:sz w:val="13"/>
        <w:szCs w:val="13"/>
      </w:rPr>
      <w:t>ą</w:t>
    </w:r>
    <w:r w:rsidRPr="003729E7">
      <w:rPr>
        <w:rFonts w:ascii="Arial" w:hAnsi="Arial" w:cs="Arial"/>
        <w:sz w:val="13"/>
        <w:szCs w:val="13"/>
      </w:rPr>
      <w:t xml:space="preserve"> oddzielne i niezale</w:t>
    </w:r>
    <w:r w:rsidRPr="003729E7">
      <w:rPr>
        <w:rFonts w:ascii="Arial" w:hAnsi="Arial" w:cs="Arial" w:hint="eastAsia"/>
        <w:sz w:val="13"/>
        <w:szCs w:val="13"/>
      </w:rPr>
      <w:t>ż</w:t>
    </w:r>
    <w:r w:rsidRPr="003729E7">
      <w:rPr>
        <w:rFonts w:ascii="Arial" w:hAnsi="Arial" w:cs="Arial"/>
        <w:sz w:val="13"/>
        <w:szCs w:val="13"/>
      </w:rPr>
      <w:t>ne podmioty prawne. Dok</w:t>
    </w:r>
    <w:r w:rsidRPr="003729E7">
      <w:rPr>
        <w:rFonts w:ascii="Arial" w:hAnsi="Arial" w:cs="Arial" w:hint="eastAsia"/>
        <w:sz w:val="13"/>
        <w:szCs w:val="13"/>
      </w:rPr>
      <w:t>ł</w:t>
    </w:r>
    <w:r w:rsidRPr="003729E7">
      <w:rPr>
        <w:rFonts w:ascii="Arial" w:hAnsi="Arial" w:cs="Arial"/>
        <w:sz w:val="13"/>
        <w:szCs w:val="13"/>
      </w:rPr>
      <w:t xml:space="preserve">adny opis struktury prawnej Deloitte </w:t>
    </w:r>
    <w:proofErr w:type="spellStart"/>
    <w:r w:rsidRPr="003729E7">
      <w:rPr>
        <w:rFonts w:ascii="Arial" w:hAnsi="Arial" w:cs="Arial"/>
        <w:sz w:val="13"/>
        <w:szCs w:val="13"/>
      </w:rPr>
      <w:t>Touche</w:t>
    </w:r>
    <w:proofErr w:type="spellEnd"/>
    <w:r w:rsidRPr="003729E7">
      <w:rPr>
        <w:rFonts w:ascii="Arial" w:hAnsi="Arial" w:cs="Arial"/>
        <w:sz w:val="13"/>
        <w:szCs w:val="13"/>
      </w:rPr>
      <w:t xml:space="preserve"> </w:t>
    </w:r>
    <w:proofErr w:type="spellStart"/>
    <w:r w:rsidRPr="003729E7">
      <w:rPr>
        <w:rFonts w:ascii="Arial" w:hAnsi="Arial" w:cs="Arial"/>
        <w:sz w:val="13"/>
        <w:szCs w:val="13"/>
      </w:rPr>
      <w:t>Tohmatsu</w:t>
    </w:r>
    <w:proofErr w:type="spellEnd"/>
    <w:r w:rsidRPr="003729E7">
      <w:rPr>
        <w:rFonts w:ascii="Arial" w:hAnsi="Arial" w:cs="Arial"/>
        <w:sz w:val="13"/>
        <w:szCs w:val="13"/>
      </w:rPr>
      <w:t xml:space="preserve"> Limited oraz jego firm cz</w:t>
    </w:r>
    <w:r w:rsidRPr="003729E7">
      <w:rPr>
        <w:rFonts w:ascii="Arial" w:hAnsi="Arial" w:cs="Arial" w:hint="eastAsia"/>
        <w:sz w:val="13"/>
        <w:szCs w:val="13"/>
      </w:rPr>
      <w:t>ł</w:t>
    </w:r>
    <w:r w:rsidRPr="003729E7">
      <w:rPr>
        <w:rFonts w:ascii="Arial" w:hAnsi="Arial" w:cs="Arial"/>
        <w:sz w:val="13"/>
        <w:szCs w:val="13"/>
      </w:rPr>
      <w:t>onkowskich mo</w:t>
    </w:r>
    <w:r w:rsidRPr="003729E7">
      <w:rPr>
        <w:rFonts w:ascii="Arial" w:hAnsi="Arial" w:cs="Arial" w:hint="eastAsia"/>
        <w:sz w:val="13"/>
        <w:szCs w:val="13"/>
      </w:rPr>
      <w:t>ż</w:t>
    </w:r>
    <w:r w:rsidRPr="003729E7">
      <w:rPr>
        <w:rFonts w:ascii="Arial" w:hAnsi="Arial" w:cs="Arial"/>
        <w:sz w:val="13"/>
        <w:szCs w:val="13"/>
      </w:rPr>
      <w:t>na znale</w:t>
    </w:r>
    <w:r w:rsidRPr="003729E7">
      <w:rPr>
        <w:rFonts w:ascii="Arial" w:hAnsi="Arial" w:cs="Arial" w:hint="eastAsia"/>
        <w:sz w:val="13"/>
        <w:szCs w:val="13"/>
      </w:rPr>
      <w:t>źć</w:t>
    </w:r>
    <w:r w:rsidRPr="003729E7">
      <w:rPr>
        <w:rFonts w:ascii="Arial" w:hAnsi="Arial" w:cs="Arial"/>
        <w:sz w:val="13"/>
        <w:szCs w:val="13"/>
      </w:rPr>
      <w:t xml:space="preserve"> na stronie </w:t>
    </w:r>
    <w:hyperlink r:id="rId1" w:history="1">
      <w:r w:rsidR="00FD45A7" w:rsidRPr="00964151">
        <w:rPr>
          <w:rStyle w:val="Hipercze"/>
          <w:rFonts w:ascii="Arial" w:hAnsi="Arial" w:cs="Arial"/>
          <w:sz w:val="13"/>
          <w:szCs w:val="13"/>
        </w:rPr>
        <w:t>www.deloitte.com/pl/onas</w:t>
      </w:r>
    </w:hyperlink>
    <w:r>
      <w:rPr>
        <w:rFonts w:ascii="Arial" w:hAnsi="Arial" w:cs="Arial"/>
        <w:sz w:val="13"/>
        <w:szCs w:val="13"/>
      </w:rPr>
      <w:t>.</w:t>
    </w:r>
  </w:p>
  <w:p w14:paraId="5AB12861" w14:textId="77777777" w:rsidR="00FD45A7" w:rsidRDefault="00FD45A7">
    <w:pPr>
      <w:pStyle w:val="Amember"/>
      <w:ind w:right="-7"/>
      <w:rPr>
        <w:rFonts w:ascii="Arial" w:hAnsi="Arial" w:cs="Arial"/>
        <w:sz w:val="13"/>
        <w:szCs w:val="13"/>
      </w:rPr>
    </w:pPr>
  </w:p>
  <w:p w14:paraId="5967072D" w14:textId="77777777" w:rsidR="00FD45A7" w:rsidRDefault="001111D6">
    <w:pPr>
      <w:pStyle w:val="Amember"/>
      <w:ind w:right="-7"/>
      <w:rPr>
        <w:rFonts w:ascii="Arial" w:hAnsi="Arial" w:cs="Arial"/>
        <w:sz w:val="13"/>
        <w:szCs w:val="13"/>
      </w:rPr>
    </w:pPr>
    <w:r w:rsidRPr="006A2169">
      <w:rPr>
        <w:rFonts w:ascii="Arial" w:hAnsi="Arial" w:cs="Arial"/>
        <w:sz w:val="13"/>
        <w:szCs w:val="13"/>
      </w:rPr>
      <w:t xml:space="preserve">Deloitte </w:t>
    </w:r>
    <w:r w:rsidRPr="006A2169">
      <w:rPr>
        <w:rFonts w:ascii="Arial" w:hAnsi="Arial" w:cs="Arial" w:hint="eastAsia"/>
        <w:sz w:val="13"/>
        <w:szCs w:val="13"/>
      </w:rPr>
      <w:t>ś</w:t>
    </w:r>
    <w:r w:rsidRPr="006A2169">
      <w:rPr>
        <w:rFonts w:ascii="Arial" w:hAnsi="Arial" w:cs="Arial"/>
        <w:sz w:val="13"/>
        <w:szCs w:val="13"/>
      </w:rPr>
      <w:t>wiadczy us</w:t>
    </w:r>
    <w:r w:rsidRPr="006A2169">
      <w:rPr>
        <w:rFonts w:ascii="Arial" w:hAnsi="Arial" w:cs="Arial" w:hint="eastAsia"/>
        <w:sz w:val="13"/>
        <w:szCs w:val="13"/>
      </w:rPr>
      <w:t>ł</w:t>
    </w:r>
    <w:r w:rsidRPr="006A2169">
      <w:rPr>
        <w:rFonts w:ascii="Arial" w:hAnsi="Arial" w:cs="Arial"/>
        <w:sz w:val="13"/>
        <w:szCs w:val="13"/>
      </w:rPr>
      <w:t>ugi audytorskie, konsultingowe, doradztwa podatkowego, prawnego i finansowego klientom z sektora publicznego oraz prywatnego, dzia</w:t>
    </w:r>
    <w:r w:rsidRPr="006A2169">
      <w:rPr>
        <w:rFonts w:ascii="Arial" w:hAnsi="Arial" w:cs="Arial" w:hint="eastAsia"/>
        <w:sz w:val="13"/>
        <w:szCs w:val="13"/>
      </w:rPr>
      <w:t>ł</w:t>
    </w:r>
    <w:r w:rsidRPr="006A2169">
      <w:rPr>
        <w:rFonts w:ascii="Arial" w:hAnsi="Arial" w:cs="Arial"/>
        <w:sz w:val="13"/>
        <w:szCs w:val="13"/>
      </w:rPr>
      <w:t>aj</w:t>
    </w:r>
    <w:r w:rsidRPr="006A2169">
      <w:rPr>
        <w:rFonts w:ascii="Arial" w:hAnsi="Arial" w:cs="Arial" w:hint="eastAsia"/>
        <w:sz w:val="13"/>
        <w:szCs w:val="13"/>
      </w:rPr>
      <w:t>ą</w:t>
    </w:r>
    <w:r w:rsidRPr="006A2169">
      <w:rPr>
        <w:rFonts w:ascii="Arial" w:hAnsi="Arial" w:cs="Arial"/>
        <w:sz w:val="13"/>
        <w:szCs w:val="13"/>
      </w:rPr>
      <w:t>cym w ró</w:t>
    </w:r>
    <w:r w:rsidRPr="006A2169">
      <w:rPr>
        <w:rFonts w:ascii="Arial" w:hAnsi="Arial" w:cs="Arial" w:hint="eastAsia"/>
        <w:sz w:val="13"/>
        <w:szCs w:val="13"/>
      </w:rPr>
      <w:t>ż</w:t>
    </w:r>
    <w:r w:rsidRPr="006A2169">
      <w:rPr>
        <w:rFonts w:ascii="Arial" w:hAnsi="Arial" w:cs="Arial"/>
        <w:sz w:val="13"/>
        <w:szCs w:val="13"/>
      </w:rPr>
      <w:t>nych bran</w:t>
    </w:r>
    <w:r w:rsidRPr="006A2169">
      <w:rPr>
        <w:rFonts w:ascii="Arial" w:hAnsi="Arial" w:cs="Arial" w:hint="eastAsia"/>
        <w:sz w:val="13"/>
        <w:szCs w:val="13"/>
      </w:rPr>
      <w:t>ż</w:t>
    </w:r>
    <w:r w:rsidRPr="006A2169">
      <w:rPr>
        <w:rFonts w:ascii="Arial" w:hAnsi="Arial" w:cs="Arial"/>
        <w:sz w:val="13"/>
        <w:szCs w:val="13"/>
      </w:rPr>
      <w:t>ach. Dzi</w:t>
    </w:r>
    <w:r w:rsidRPr="006A2169">
      <w:rPr>
        <w:rFonts w:ascii="Arial" w:hAnsi="Arial" w:cs="Arial" w:hint="eastAsia"/>
        <w:sz w:val="13"/>
        <w:szCs w:val="13"/>
      </w:rPr>
      <w:t>ę</w:t>
    </w:r>
    <w:r w:rsidRPr="006A2169">
      <w:rPr>
        <w:rFonts w:ascii="Arial" w:hAnsi="Arial" w:cs="Arial"/>
        <w:sz w:val="13"/>
        <w:szCs w:val="13"/>
      </w:rPr>
      <w:t>ki globalnej sieci firm cz</w:t>
    </w:r>
    <w:r w:rsidRPr="006A2169">
      <w:rPr>
        <w:rFonts w:ascii="Arial" w:hAnsi="Arial" w:cs="Arial" w:hint="eastAsia"/>
        <w:sz w:val="13"/>
        <w:szCs w:val="13"/>
      </w:rPr>
      <w:t>ł</w:t>
    </w:r>
    <w:r w:rsidRPr="006A2169">
      <w:rPr>
        <w:rFonts w:ascii="Arial" w:hAnsi="Arial" w:cs="Arial"/>
        <w:sz w:val="13"/>
        <w:szCs w:val="13"/>
      </w:rPr>
      <w:t>onkowskich obejmuj</w:t>
    </w:r>
    <w:r w:rsidRPr="006A2169">
      <w:rPr>
        <w:rFonts w:ascii="Arial" w:hAnsi="Arial" w:cs="Arial" w:hint="eastAsia"/>
        <w:sz w:val="13"/>
        <w:szCs w:val="13"/>
      </w:rPr>
      <w:t>ą</w:t>
    </w:r>
    <w:r w:rsidRPr="006A2169">
      <w:rPr>
        <w:rFonts w:ascii="Arial" w:hAnsi="Arial" w:cs="Arial"/>
        <w:sz w:val="13"/>
        <w:szCs w:val="13"/>
      </w:rPr>
      <w:t>cej 150 krajów oferujemy najwy</w:t>
    </w:r>
    <w:r w:rsidRPr="006A2169">
      <w:rPr>
        <w:rFonts w:ascii="Arial" w:hAnsi="Arial" w:cs="Arial" w:hint="eastAsia"/>
        <w:sz w:val="13"/>
        <w:szCs w:val="13"/>
      </w:rPr>
      <w:t>ż</w:t>
    </w:r>
    <w:r w:rsidRPr="006A2169">
      <w:rPr>
        <w:rFonts w:ascii="Arial" w:hAnsi="Arial" w:cs="Arial"/>
        <w:sz w:val="13"/>
        <w:szCs w:val="13"/>
      </w:rPr>
      <w:t>szej klasy umiej</w:t>
    </w:r>
    <w:r w:rsidRPr="006A2169">
      <w:rPr>
        <w:rFonts w:ascii="Arial" w:hAnsi="Arial" w:cs="Arial" w:hint="eastAsia"/>
        <w:sz w:val="13"/>
        <w:szCs w:val="13"/>
      </w:rPr>
      <w:t>ę</w:t>
    </w:r>
    <w:r w:rsidRPr="006A2169">
      <w:rPr>
        <w:rFonts w:ascii="Arial" w:hAnsi="Arial" w:cs="Arial"/>
        <w:sz w:val="13"/>
        <w:szCs w:val="13"/>
      </w:rPr>
      <w:t>tno</w:t>
    </w:r>
    <w:r w:rsidRPr="006A2169">
      <w:rPr>
        <w:rFonts w:ascii="Arial" w:hAnsi="Arial" w:cs="Arial" w:hint="eastAsia"/>
        <w:sz w:val="13"/>
        <w:szCs w:val="13"/>
      </w:rPr>
      <w:t>ś</w:t>
    </w:r>
    <w:r w:rsidRPr="006A2169">
      <w:rPr>
        <w:rFonts w:ascii="Arial" w:hAnsi="Arial" w:cs="Arial"/>
        <w:sz w:val="13"/>
        <w:szCs w:val="13"/>
      </w:rPr>
      <w:t>ci, do</w:t>
    </w:r>
    <w:r w:rsidRPr="006A2169">
      <w:rPr>
        <w:rFonts w:ascii="Arial" w:hAnsi="Arial" w:cs="Arial" w:hint="eastAsia"/>
        <w:sz w:val="13"/>
        <w:szCs w:val="13"/>
      </w:rPr>
      <w:t>ś</w:t>
    </w:r>
    <w:r>
      <w:rPr>
        <w:rFonts w:ascii="Arial" w:hAnsi="Arial" w:cs="Arial"/>
        <w:sz w:val="13"/>
        <w:szCs w:val="13"/>
      </w:rPr>
      <w:t>wiadczenie i </w:t>
    </w:r>
    <w:r w:rsidRPr="006A2169">
      <w:rPr>
        <w:rFonts w:ascii="Arial" w:hAnsi="Arial" w:cs="Arial"/>
        <w:sz w:val="13"/>
        <w:szCs w:val="13"/>
      </w:rPr>
      <w:t>wiedz</w:t>
    </w:r>
    <w:r w:rsidRPr="006A2169">
      <w:rPr>
        <w:rFonts w:ascii="Arial" w:hAnsi="Arial" w:cs="Arial" w:hint="eastAsia"/>
        <w:sz w:val="13"/>
        <w:szCs w:val="13"/>
      </w:rPr>
      <w:t>ę</w:t>
    </w:r>
    <w:r w:rsidRPr="006A2169">
      <w:rPr>
        <w:rFonts w:ascii="Arial" w:hAnsi="Arial" w:cs="Arial"/>
        <w:sz w:val="13"/>
        <w:szCs w:val="13"/>
      </w:rPr>
      <w:t xml:space="preserve"> w po</w:t>
    </w:r>
    <w:r w:rsidRPr="006A2169">
      <w:rPr>
        <w:rFonts w:ascii="Arial" w:hAnsi="Arial" w:cs="Arial" w:hint="eastAsia"/>
        <w:sz w:val="13"/>
        <w:szCs w:val="13"/>
      </w:rPr>
      <w:t>łą</w:t>
    </w:r>
    <w:r w:rsidRPr="006A2169">
      <w:rPr>
        <w:rFonts w:ascii="Arial" w:hAnsi="Arial" w:cs="Arial"/>
        <w:sz w:val="13"/>
        <w:szCs w:val="13"/>
      </w:rPr>
      <w:t>czeniu ze znajomo</w:t>
    </w:r>
    <w:r w:rsidRPr="006A2169">
      <w:rPr>
        <w:rFonts w:ascii="Arial" w:hAnsi="Arial" w:cs="Arial" w:hint="eastAsia"/>
        <w:sz w:val="13"/>
        <w:szCs w:val="13"/>
      </w:rPr>
      <w:t>ś</w:t>
    </w:r>
    <w:r w:rsidRPr="006A2169">
      <w:rPr>
        <w:rFonts w:ascii="Arial" w:hAnsi="Arial" w:cs="Arial"/>
        <w:sz w:val="13"/>
        <w:szCs w:val="13"/>
      </w:rPr>
      <w:t>ci</w:t>
    </w:r>
    <w:r w:rsidRPr="006A2169">
      <w:rPr>
        <w:rFonts w:ascii="Arial" w:hAnsi="Arial" w:cs="Arial" w:hint="eastAsia"/>
        <w:sz w:val="13"/>
        <w:szCs w:val="13"/>
      </w:rPr>
      <w:t>ą</w:t>
    </w:r>
    <w:r w:rsidRPr="006A2169">
      <w:rPr>
        <w:rFonts w:ascii="Arial" w:hAnsi="Arial" w:cs="Arial"/>
        <w:sz w:val="13"/>
        <w:szCs w:val="13"/>
      </w:rPr>
      <w:t xml:space="preserve"> lokalnego rynku. Pomagamy klientom odnie</w:t>
    </w:r>
    <w:r w:rsidRPr="006A2169">
      <w:rPr>
        <w:rFonts w:ascii="Arial" w:hAnsi="Arial" w:cs="Arial" w:hint="eastAsia"/>
        <w:sz w:val="13"/>
        <w:szCs w:val="13"/>
      </w:rPr>
      <w:t>ść</w:t>
    </w:r>
    <w:r w:rsidRPr="006A2169">
      <w:rPr>
        <w:rFonts w:ascii="Arial" w:hAnsi="Arial" w:cs="Arial"/>
        <w:sz w:val="13"/>
        <w:szCs w:val="13"/>
      </w:rPr>
      <w:t xml:space="preserve"> sukces niezale</w:t>
    </w:r>
    <w:r w:rsidRPr="006A2169">
      <w:rPr>
        <w:rFonts w:ascii="Arial" w:hAnsi="Arial" w:cs="Arial" w:hint="eastAsia"/>
        <w:sz w:val="13"/>
        <w:szCs w:val="13"/>
      </w:rPr>
      <w:t>ż</w:t>
    </w:r>
    <w:r w:rsidRPr="006A2169">
      <w:rPr>
        <w:rFonts w:ascii="Arial" w:hAnsi="Arial" w:cs="Arial"/>
        <w:sz w:val="13"/>
        <w:szCs w:val="13"/>
      </w:rPr>
      <w:t>nie od miejsca i bran</w:t>
    </w:r>
    <w:r w:rsidRPr="006A2169">
      <w:rPr>
        <w:rFonts w:ascii="Arial" w:hAnsi="Arial" w:cs="Arial" w:hint="eastAsia"/>
        <w:sz w:val="13"/>
        <w:szCs w:val="13"/>
      </w:rPr>
      <w:t>ż</w:t>
    </w:r>
    <w:r w:rsidRPr="006A2169">
      <w:rPr>
        <w:rFonts w:ascii="Arial" w:hAnsi="Arial" w:cs="Arial"/>
        <w:sz w:val="13"/>
        <w:szCs w:val="13"/>
      </w:rPr>
      <w:t>y, w jakiej dzia</w:t>
    </w:r>
    <w:r w:rsidRPr="006A2169">
      <w:rPr>
        <w:rFonts w:ascii="Arial" w:hAnsi="Arial" w:cs="Arial" w:hint="eastAsia"/>
        <w:sz w:val="13"/>
        <w:szCs w:val="13"/>
      </w:rPr>
      <w:t>ł</w:t>
    </w:r>
    <w:r w:rsidRPr="006A2169">
      <w:rPr>
        <w:rFonts w:ascii="Arial" w:hAnsi="Arial" w:cs="Arial"/>
        <w:sz w:val="13"/>
        <w:szCs w:val="13"/>
      </w:rPr>
      <w:t>aj</w:t>
    </w:r>
    <w:r w:rsidRPr="006A2169">
      <w:rPr>
        <w:rFonts w:ascii="Arial" w:hAnsi="Arial" w:cs="Arial" w:hint="eastAsia"/>
        <w:sz w:val="13"/>
        <w:szCs w:val="13"/>
      </w:rPr>
      <w:t>ą</w:t>
    </w:r>
    <w:r w:rsidRPr="006A2169">
      <w:rPr>
        <w:rFonts w:ascii="Arial" w:hAnsi="Arial" w:cs="Arial"/>
        <w:sz w:val="13"/>
        <w:szCs w:val="13"/>
      </w:rPr>
      <w:t xml:space="preserve">. Ponad 244 000 pracowników Deloitte na </w:t>
    </w:r>
    <w:r w:rsidRPr="006A2169">
      <w:rPr>
        <w:rFonts w:ascii="Arial" w:hAnsi="Arial" w:cs="Arial" w:hint="eastAsia"/>
        <w:sz w:val="13"/>
        <w:szCs w:val="13"/>
      </w:rPr>
      <w:t>ś</w:t>
    </w:r>
    <w:r w:rsidRPr="006A2169">
      <w:rPr>
        <w:rFonts w:ascii="Arial" w:hAnsi="Arial" w:cs="Arial"/>
        <w:sz w:val="13"/>
        <w:szCs w:val="13"/>
      </w:rPr>
      <w:t>wiecie realizuje misj</w:t>
    </w:r>
    <w:r w:rsidRPr="006A2169">
      <w:rPr>
        <w:rFonts w:ascii="Arial" w:hAnsi="Arial" w:cs="Arial" w:hint="eastAsia"/>
        <w:sz w:val="13"/>
        <w:szCs w:val="13"/>
      </w:rPr>
      <w:t>ę</w:t>
    </w:r>
    <w:r w:rsidRPr="006A2169">
      <w:rPr>
        <w:rFonts w:ascii="Arial" w:hAnsi="Arial" w:cs="Arial"/>
        <w:sz w:val="13"/>
        <w:szCs w:val="13"/>
      </w:rPr>
      <w:t xml:space="preserve"> firmy: wywiera</w:t>
    </w:r>
    <w:r w:rsidRPr="006A2169">
      <w:rPr>
        <w:rFonts w:ascii="Arial" w:hAnsi="Arial" w:cs="Arial" w:hint="eastAsia"/>
        <w:sz w:val="13"/>
        <w:szCs w:val="13"/>
      </w:rPr>
      <w:t>ć</w:t>
    </w:r>
    <w:r w:rsidRPr="006A2169">
      <w:rPr>
        <w:rFonts w:ascii="Arial" w:hAnsi="Arial" w:cs="Arial"/>
        <w:sz w:val="13"/>
        <w:szCs w:val="13"/>
      </w:rPr>
      <w:t xml:space="preserve"> pozytywny wp</w:t>
    </w:r>
    <w:r w:rsidRPr="006A2169">
      <w:rPr>
        <w:rFonts w:ascii="Arial" w:hAnsi="Arial" w:cs="Arial" w:hint="eastAsia"/>
        <w:sz w:val="13"/>
        <w:szCs w:val="13"/>
      </w:rPr>
      <w:t>ł</w:t>
    </w:r>
    <w:r w:rsidRPr="006A2169">
      <w:rPr>
        <w:rFonts w:ascii="Arial" w:hAnsi="Arial" w:cs="Arial"/>
        <w:sz w:val="13"/>
        <w:szCs w:val="13"/>
      </w:rPr>
      <w:t xml:space="preserve">yw na </w:t>
    </w:r>
    <w:r w:rsidRPr="006A2169">
      <w:rPr>
        <w:rFonts w:ascii="Arial" w:hAnsi="Arial" w:cs="Arial" w:hint="eastAsia"/>
        <w:sz w:val="13"/>
        <w:szCs w:val="13"/>
      </w:rPr>
      <w:t>ś</w:t>
    </w:r>
    <w:r w:rsidRPr="006A2169">
      <w:rPr>
        <w:rFonts w:ascii="Arial" w:hAnsi="Arial" w:cs="Arial"/>
        <w:sz w:val="13"/>
        <w:szCs w:val="13"/>
      </w:rPr>
      <w:t xml:space="preserve">rodowisko i otoczenie, w którym </w:t>
    </w:r>
    <w:r w:rsidRPr="006A2169">
      <w:rPr>
        <w:rFonts w:ascii="Arial" w:hAnsi="Arial" w:cs="Arial" w:hint="eastAsia"/>
        <w:sz w:val="13"/>
        <w:szCs w:val="13"/>
      </w:rPr>
      <w:t>ż</w:t>
    </w:r>
    <w:r w:rsidRPr="006A2169">
      <w:rPr>
        <w:rFonts w:ascii="Arial" w:hAnsi="Arial" w:cs="Arial"/>
        <w:sz w:val="13"/>
        <w:szCs w:val="13"/>
      </w:rPr>
      <w:t>yj</w:t>
    </w:r>
    <w:r w:rsidRPr="006A2169">
      <w:rPr>
        <w:rFonts w:ascii="Arial" w:hAnsi="Arial" w:cs="Arial" w:hint="eastAsia"/>
        <w:sz w:val="13"/>
        <w:szCs w:val="13"/>
      </w:rPr>
      <w:t>ą</w:t>
    </w:r>
    <w:r w:rsidRPr="006A2169">
      <w:rPr>
        <w:rFonts w:ascii="Arial" w:hAnsi="Arial" w:cs="Arial"/>
        <w:sz w:val="13"/>
        <w:szCs w:val="13"/>
      </w:rPr>
      <w:t xml:space="preserve"> i pracuj</w:t>
    </w:r>
    <w:r w:rsidRPr="006A2169">
      <w:rPr>
        <w:rFonts w:ascii="Arial" w:hAnsi="Arial" w:cs="Arial" w:hint="eastAsia"/>
        <w:sz w:val="13"/>
        <w:szCs w:val="13"/>
      </w:rPr>
      <w:t>ą</w:t>
    </w:r>
    <w:r w:rsidRPr="006A2169">
      <w:rPr>
        <w:rFonts w:ascii="Arial" w:hAnsi="Arial" w:cs="Arial"/>
        <w:sz w:val="13"/>
        <w:szCs w:val="13"/>
      </w:rPr>
      <w:t>.</w:t>
    </w:r>
  </w:p>
  <w:p w14:paraId="608B2AE7" w14:textId="77777777" w:rsidR="00FD45A7" w:rsidRPr="00FF74F8" w:rsidRDefault="001111D6">
    <w:pPr>
      <w:pStyle w:val="Amember"/>
      <w:ind w:right="-7"/>
      <w:rPr>
        <w:rFonts w:ascii="Arial" w:hAnsi="Arial" w:cs="Arial"/>
        <w:sz w:val="13"/>
        <w:szCs w:val="13"/>
      </w:rPr>
    </w:pPr>
    <w:r w:rsidRPr="00006577">
      <w:rPr>
        <w:rFonts w:ascii="Arial" w:hAnsi="Arial" w:cs="Arial"/>
        <w:sz w:val="13"/>
        <w:szCs w:val="13"/>
      </w:rPr>
      <w:t xml:space="preserve"> </w:t>
    </w:r>
  </w:p>
  <w:p w14:paraId="55F9CCCA" w14:textId="77777777" w:rsidR="00FD45A7" w:rsidRPr="00FF74F8" w:rsidRDefault="001111D6">
    <w:pPr>
      <w:pStyle w:val="Amember"/>
      <w:ind w:right="-7"/>
      <w:rPr>
        <w:rFonts w:ascii="Arial" w:hAnsi="Arial" w:cs="Arial"/>
        <w:sz w:val="13"/>
        <w:szCs w:val="13"/>
      </w:rPr>
    </w:pPr>
    <w:r w:rsidRPr="00006577">
      <w:rPr>
        <w:rFonts w:ascii="Arial" w:hAnsi="Arial" w:cs="Arial"/>
        <w:sz w:val="13"/>
        <w:szCs w:val="13"/>
      </w:rPr>
      <w:t xml:space="preserve"> </w:t>
    </w:r>
  </w:p>
  <w:p w14:paraId="6B32384C" w14:textId="77777777" w:rsidR="00FD45A7" w:rsidRPr="002E5C50" w:rsidRDefault="00FD45A7">
    <w:pPr>
      <w:pStyle w:val="Stopka"/>
      <w:ind w:right="3679"/>
      <w:rPr>
        <w:rFonts w:ascii="Arial" w:hAnsi="Arial"/>
      </w:rPr>
    </w:pPr>
  </w:p>
  <w:p w14:paraId="00A6B06D" w14:textId="77777777" w:rsidR="00FD45A7" w:rsidRPr="00976E31" w:rsidRDefault="001111D6">
    <w:pPr>
      <w:pStyle w:val="Amember"/>
      <w:ind w:right="3679"/>
      <w:rPr>
        <w:rFonts w:ascii="Arial" w:hAnsi="Arial"/>
        <w:lang w:val="en-GB"/>
      </w:rPr>
    </w:pPr>
    <w:r w:rsidRPr="00FA286C">
      <w:rPr>
        <w:rFonts w:ascii="Arial" w:hAnsi="Arial" w:cs="Arial"/>
        <w:szCs w:val="14"/>
        <w:lang w:val="en-US"/>
      </w:rPr>
      <w:t>Member of D</w:t>
    </w:r>
    <w:r>
      <w:rPr>
        <w:rFonts w:ascii="Arial" w:hAnsi="Arial" w:cs="Arial"/>
        <w:szCs w:val="14"/>
        <w:lang w:val="en-US"/>
      </w:rPr>
      <w:t>eloitte Touche Tohmatsu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6AF0" w14:textId="77777777" w:rsidR="0082315B" w:rsidRDefault="0082315B" w:rsidP="00B90A90">
      <w:pPr>
        <w:spacing w:line="240" w:lineRule="auto"/>
      </w:pPr>
      <w:r>
        <w:separator/>
      </w:r>
    </w:p>
  </w:footnote>
  <w:footnote w:type="continuationSeparator" w:id="0">
    <w:p w14:paraId="142C8E03" w14:textId="77777777" w:rsidR="0082315B" w:rsidRDefault="0082315B" w:rsidP="00B90A90">
      <w:pPr>
        <w:spacing w:line="240" w:lineRule="auto"/>
      </w:pPr>
      <w:r>
        <w:continuationSeparator/>
      </w:r>
    </w:p>
  </w:footnote>
  <w:footnote w:type="continuationNotice" w:id="1">
    <w:p w14:paraId="120E04F4" w14:textId="77777777" w:rsidR="0082315B" w:rsidRDefault="008231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591C" w14:textId="77777777" w:rsidR="00FD45A7" w:rsidRDefault="001111D6">
    <w:pPr>
      <w:pStyle w:val="Legalentity"/>
      <w:spacing w:after="140" w:line="240" w:lineRule="auto"/>
      <w:rPr>
        <w:sz w:val="18"/>
      </w:rPr>
    </w:pPr>
    <w:r>
      <w:rPr>
        <w:noProof/>
        <w:lang w:eastAsia="pl-PL"/>
      </w:rPr>
      <w:drawing>
        <wp:anchor distT="0" distB="0" distL="114300" distR="114300" simplePos="0" relativeHeight="251658240" behindDoc="0" locked="0" layoutInCell="1" allowOverlap="1" wp14:anchorId="27CA93AE" wp14:editId="21903D3D">
          <wp:simplePos x="0" y="0"/>
          <wp:positionH relativeFrom="column">
            <wp:posOffset>0</wp:posOffset>
          </wp:positionH>
          <wp:positionV relativeFrom="paragraph">
            <wp:posOffset>0</wp:posOffset>
          </wp:positionV>
          <wp:extent cx="1630680" cy="304800"/>
          <wp:effectExtent l="0" t="0" r="7620" b="0"/>
          <wp:wrapNone/>
          <wp:docPr id="1" name="Picture 3" descr="DEL_PRI_GREY_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_PRI_GREY_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304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3A9"/>
    <w:rsid w:val="000002DD"/>
    <w:rsid w:val="00000BFD"/>
    <w:rsid w:val="00003E56"/>
    <w:rsid w:val="0001032A"/>
    <w:rsid w:val="00012D05"/>
    <w:rsid w:val="00015923"/>
    <w:rsid w:val="00020CD5"/>
    <w:rsid w:val="0002422C"/>
    <w:rsid w:val="00024A58"/>
    <w:rsid w:val="00025A83"/>
    <w:rsid w:val="000275F7"/>
    <w:rsid w:val="00030715"/>
    <w:rsid w:val="00034272"/>
    <w:rsid w:val="0003629F"/>
    <w:rsid w:val="00041EDD"/>
    <w:rsid w:val="00043480"/>
    <w:rsid w:val="00043594"/>
    <w:rsid w:val="00043BFB"/>
    <w:rsid w:val="00050064"/>
    <w:rsid w:val="000515C7"/>
    <w:rsid w:val="00064F5C"/>
    <w:rsid w:val="000660FF"/>
    <w:rsid w:val="0006751F"/>
    <w:rsid w:val="000701D3"/>
    <w:rsid w:val="000776E6"/>
    <w:rsid w:val="00083A61"/>
    <w:rsid w:val="00085189"/>
    <w:rsid w:val="00090437"/>
    <w:rsid w:val="00091CEB"/>
    <w:rsid w:val="000A49EC"/>
    <w:rsid w:val="000A520C"/>
    <w:rsid w:val="000A648E"/>
    <w:rsid w:val="000B213E"/>
    <w:rsid w:val="000B4047"/>
    <w:rsid w:val="000C36CD"/>
    <w:rsid w:val="000C3C26"/>
    <w:rsid w:val="000C48DA"/>
    <w:rsid w:val="000C60CC"/>
    <w:rsid w:val="000C6439"/>
    <w:rsid w:val="000D172D"/>
    <w:rsid w:val="000D2638"/>
    <w:rsid w:val="000D2C28"/>
    <w:rsid w:val="000D4B8E"/>
    <w:rsid w:val="000E6632"/>
    <w:rsid w:val="000E6838"/>
    <w:rsid w:val="000F298B"/>
    <w:rsid w:val="000F52C4"/>
    <w:rsid w:val="00101990"/>
    <w:rsid w:val="00101FE8"/>
    <w:rsid w:val="00102E4A"/>
    <w:rsid w:val="00104EFA"/>
    <w:rsid w:val="001076E4"/>
    <w:rsid w:val="001111D6"/>
    <w:rsid w:val="00113B1B"/>
    <w:rsid w:val="001155F1"/>
    <w:rsid w:val="001200DF"/>
    <w:rsid w:val="001204EF"/>
    <w:rsid w:val="00121316"/>
    <w:rsid w:val="00123C45"/>
    <w:rsid w:val="001277A5"/>
    <w:rsid w:val="001344CA"/>
    <w:rsid w:val="0015074D"/>
    <w:rsid w:val="00156F6A"/>
    <w:rsid w:val="00160BFC"/>
    <w:rsid w:val="00161B09"/>
    <w:rsid w:val="00165396"/>
    <w:rsid w:val="00170D09"/>
    <w:rsid w:val="00174B85"/>
    <w:rsid w:val="00177ECD"/>
    <w:rsid w:val="001804F6"/>
    <w:rsid w:val="001827EA"/>
    <w:rsid w:val="00190DEC"/>
    <w:rsid w:val="00191079"/>
    <w:rsid w:val="0019301D"/>
    <w:rsid w:val="00193211"/>
    <w:rsid w:val="001951C8"/>
    <w:rsid w:val="0019565A"/>
    <w:rsid w:val="001958A0"/>
    <w:rsid w:val="001A0BA3"/>
    <w:rsid w:val="001B0CE9"/>
    <w:rsid w:val="001B0F8E"/>
    <w:rsid w:val="001B1808"/>
    <w:rsid w:val="001B270D"/>
    <w:rsid w:val="001B300B"/>
    <w:rsid w:val="001B3952"/>
    <w:rsid w:val="001B3AEE"/>
    <w:rsid w:val="001B641D"/>
    <w:rsid w:val="001C37ED"/>
    <w:rsid w:val="001D10FA"/>
    <w:rsid w:val="001D4DFE"/>
    <w:rsid w:val="001D5318"/>
    <w:rsid w:val="001D6F83"/>
    <w:rsid w:val="001E2222"/>
    <w:rsid w:val="001E223C"/>
    <w:rsid w:val="001E2AA8"/>
    <w:rsid w:val="001E356E"/>
    <w:rsid w:val="001E43F0"/>
    <w:rsid w:val="001E5BA3"/>
    <w:rsid w:val="001E696C"/>
    <w:rsid w:val="001F0781"/>
    <w:rsid w:val="001F1E7E"/>
    <w:rsid w:val="001F32B0"/>
    <w:rsid w:val="001F595D"/>
    <w:rsid w:val="002039E2"/>
    <w:rsid w:val="0021205A"/>
    <w:rsid w:val="00217215"/>
    <w:rsid w:val="00225D41"/>
    <w:rsid w:val="00226E63"/>
    <w:rsid w:val="0023180A"/>
    <w:rsid w:val="002363B6"/>
    <w:rsid w:val="002364CC"/>
    <w:rsid w:val="002364EA"/>
    <w:rsid w:val="00236EB0"/>
    <w:rsid w:val="00241533"/>
    <w:rsid w:val="00247D48"/>
    <w:rsid w:val="00251BF1"/>
    <w:rsid w:val="00252D20"/>
    <w:rsid w:val="00253135"/>
    <w:rsid w:val="00256853"/>
    <w:rsid w:val="00257249"/>
    <w:rsid w:val="00265672"/>
    <w:rsid w:val="00272405"/>
    <w:rsid w:val="002727EB"/>
    <w:rsid w:val="0027341E"/>
    <w:rsid w:val="0027538E"/>
    <w:rsid w:val="00276857"/>
    <w:rsid w:val="00277AFC"/>
    <w:rsid w:val="002809DB"/>
    <w:rsid w:val="0028187C"/>
    <w:rsid w:val="002825B1"/>
    <w:rsid w:val="00283488"/>
    <w:rsid w:val="0028493A"/>
    <w:rsid w:val="00285B3D"/>
    <w:rsid w:val="00295207"/>
    <w:rsid w:val="00295FA7"/>
    <w:rsid w:val="00297008"/>
    <w:rsid w:val="002A0A81"/>
    <w:rsid w:val="002A6B3B"/>
    <w:rsid w:val="002A70F3"/>
    <w:rsid w:val="002B0B6E"/>
    <w:rsid w:val="002B4A23"/>
    <w:rsid w:val="002B5A0A"/>
    <w:rsid w:val="002B695E"/>
    <w:rsid w:val="002C20C8"/>
    <w:rsid w:val="002C44C5"/>
    <w:rsid w:val="002C4DA3"/>
    <w:rsid w:val="002D11BE"/>
    <w:rsid w:val="002D74EC"/>
    <w:rsid w:val="002E2DC0"/>
    <w:rsid w:val="002E49BF"/>
    <w:rsid w:val="002E5817"/>
    <w:rsid w:val="002E6175"/>
    <w:rsid w:val="002E6FD0"/>
    <w:rsid w:val="002F03DF"/>
    <w:rsid w:val="002F0A54"/>
    <w:rsid w:val="002F3CA5"/>
    <w:rsid w:val="00300A85"/>
    <w:rsid w:val="00303239"/>
    <w:rsid w:val="0030418F"/>
    <w:rsid w:val="00304A54"/>
    <w:rsid w:val="00310F2B"/>
    <w:rsid w:val="0032134D"/>
    <w:rsid w:val="003220DB"/>
    <w:rsid w:val="00327081"/>
    <w:rsid w:val="003270F3"/>
    <w:rsid w:val="00330D8A"/>
    <w:rsid w:val="00332EF3"/>
    <w:rsid w:val="00336A30"/>
    <w:rsid w:val="00340A29"/>
    <w:rsid w:val="00343535"/>
    <w:rsid w:val="003439C3"/>
    <w:rsid w:val="00343BC5"/>
    <w:rsid w:val="00343FCC"/>
    <w:rsid w:val="00344171"/>
    <w:rsid w:val="00347971"/>
    <w:rsid w:val="00350C87"/>
    <w:rsid w:val="00350EFC"/>
    <w:rsid w:val="0035201C"/>
    <w:rsid w:val="0035229F"/>
    <w:rsid w:val="0035248C"/>
    <w:rsid w:val="00352CF6"/>
    <w:rsid w:val="00360F33"/>
    <w:rsid w:val="00363148"/>
    <w:rsid w:val="00364E14"/>
    <w:rsid w:val="003651A5"/>
    <w:rsid w:val="003743AB"/>
    <w:rsid w:val="003743B1"/>
    <w:rsid w:val="00375A24"/>
    <w:rsid w:val="00375AB7"/>
    <w:rsid w:val="00377B0F"/>
    <w:rsid w:val="00381916"/>
    <w:rsid w:val="003820DA"/>
    <w:rsid w:val="00383B9F"/>
    <w:rsid w:val="00384867"/>
    <w:rsid w:val="00387D51"/>
    <w:rsid w:val="00392CA5"/>
    <w:rsid w:val="00395852"/>
    <w:rsid w:val="003977D7"/>
    <w:rsid w:val="00397A3D"/>
    <w:rsid w:val="00397A6B"/>
    <w:rsid w:val="003A11EE"/>
    <w:rsid w:val="003B4C85"/>
    <w:rsid w:val="003B64F7"/>
    <w:rsid w:val="003C441F"/>
    <w:rsid w:val="003D08D7"/>
    <w:rsid w:val="003D33A9"/>
    <w:rsid w:val="003D3E03"/>
    <w:rsid w:val="003D4E39"/>
    <w:rsid w:val="003D5325"/>
    <w:rsid w:val="003D5EB0"/>
    <w:rsid w:val="003D7ECB"/>
    <w:rsid w:val="003E0B52"/>
    <w:rsid w:val="003E1BA5"/>
    <w:rsid w:val="003E1C2D"/>
    <w:rsid w:val="003E403F"/>
    <w:rsid w:val="003E4614"/>
    <w:rsid w:val="003E4EFB"/>
    <w:rsid w:val="00402C07"/>
    <w:rsid w:val="00403FBD"/>
    <w:rsid w:val="00410847"/>
    <w:rsid w:val="004142BD"/>
    <w:rsid w:val="00417913"/>
    <w:rsid w:val="00420B38"/>
    <w:rsid w:val="00421A46"/>
    <w:rsid w:val="00434C3C"/>
    <w:rsid w:val="00434E39"/>
    <w:rsid w:val="0044265D"/>
    <w:rsid w:val="0044283B"/>
    <w:rsid w:val="004428CE"/>
    <w:rsid w:val="00442B20"/>
    <w:rsid w:val="00446EB7"/>
    <w:rsid w:val="00453E53"/>
    <w:rsid w:val="00455F0A"/>
    <w:rsid w:val="00457CF3"/>
    <w:rsid w:val="004604C7"/>
    <w:rsid w:val="00460F89"/>
    <w:rsid w:val="00464A6A"/>
    <w:rsid w:val="00465D39"/>
    <w:rsid w:val="00472CDA"/>
    <w:rsid w:val="00472DDC"/>
    <w:rsid w:val="00474D34"/>
    <w:rsid w:val="00490D00"/>
    <w:rsid w:val="00491B61"/>
    <w:rsid w:val="00494AD7"/>
    <w:rsid w:val="004977FD"/>
    <w:rsid w:val="004A77AF"/>
    <w:rsid w:val="004B5EFD"/>
    <w:rsid w:val="004D1CBD"/>
    <w:rsid w:val="004D62D2"/>
    <w:rsid w:val="004E2F0E"/>
    <w:rsid w:val="004E37E2"/>
    <w:rsid w:val="004F765B"/>
    <w:rsid w:val="00500D9C"/>
    <w:rsid w:val="00501817"/>
    <w:rsid w:val="00502C16"/>
    <w:rsid w:val="00505559"/>
    <w:rsid w:val="0051368B"/>
    <w:rsid w:val="00523A1E"/>
    <w:rsid w:val="00523B84"/>
    <w:rsid w:val="00524485"/>
    <w:rsid w:val="0052510A"/>
    <w:rsid w:val="00531247"/>
    <w:rsid w:val="005330EE"/>
    <w:rsid w:val="0053553E"/>
    <w:rsid w:val="005427FA"/>
    <w:rsid w:val="00544A6C"/>
    <w:rsid w:val="00545774"/>
    <w:rsid w:val="00545836"/>
    <w:rsid w:val="00547ABB"/>
    <w:rsid w:val="0055144D"/>
    <w:rsid w:val="00553EE3"/>
    <w:rsid w:val="00554E57"/>
    <w:rsid w:val="005553CF"/>
    <w:rsid w:val="00560509"/>
    <w:rsid w:val="00563053"/>
    <w:rsid w:val="005644B0"/>
    <w:rsid w:val="00565DA2"/>
    <w:rsid w:val="00565F4A"/>
    <w:rsid w:val="00572CA8"/>
    <w:rsid w:val="00575353"/>
    <w:rsid w:val="00575A45"/>
    <w:rsid w:val="00576D08"/>
    <w:rsid w:val="00581D72"/>
    <w:rsid w:val="00586960"/>
    <w:rsid w:val="00586ABD"/>
    <w:rsid w:val="00587563"/>
    <w:rsid w:val="00591690"/>
    <w:rsid w:val="00592FFD"/>
    <w:rsid w:val="0059409C"/>
    <w:rsid w:val="0059516B"/>
    <w:rsid w:val="005A0610"/>
    <w:rsid w:val="005A530F"/>
    <w:rsid w:val="005A5F90"/>
    <w:rsid w:val="005A6E25"/>
    <w:rsid w:val="005B25CF"/>
    <w:rsid w:val="005B2926"/>
    <w:rsid w:val="005B3323"/>
    <w:rsid w:val="005B4CDD"/>
    <w:rsid w:val="005C1132"/>
    <w:rsid w:val="005C31B7"/>
    <w:rsid w:val="005C3EC1"/>
    <w:rsid w:val="005C40D5"/>
    <w:rsid w:val="005C5058"/>
    <w:rsid w:val="005D3D16"/>
    <w:rsid w:val="005D617A"/>
    <w:rsid w:val="005E02FA"/>
    <w:rsid w:val="005E06FF"/>
    <w:rsid w:val="005E0E22"/>
    <w:rsid w:val="005E165C"/>
    <w:rsid w:val="005E21E8"/>
    <w:rsid w:val="005F3197"/>
    <w:rsid w:val="005F5A47"/>
    <w:rsid w:val="00603FFC"/>
    <w:rsid w:val="00604030"/>
    <w:rsid w:val="00610532"/>
    <w:rsid w:val="00616477"/>
    <w:rsid w:val="00617DB0"/>
    <w:rsid w:val="00624B92"/>
    <w:rsid w:val="00630D0F"/>
    <w:rsid w:val="006316A6"/>
    <w:rsid w:val="00631E59"/>
    <w:rsid w:val="00632917"/>
    <w:rsid w:val="00634A53"/>
    <w:rsid w:val="006366CF"/>
    <w:rsid w:val="006413E8"/>
    <w:rsid w:val="00643B00"/>
    <w:rsid w:val="006505C4"/>
    <w:rsid w:val="0065063E"/>
    <w:rsid w:val="0065384F"/>
    <w:rsid w:val="00655E00"/>
    <w:rsid w:val="0066446E"/>
    <w:rsid w:val="006654AD"/>
    <w:rsid w:val="00665A5B"/>
    <w:rsid w:val="006745B1"/>
    <w:rsid w:val="00676656"/>
    <w:rsid w:val="00677B05"/>
    <w:rsid w:val="00683744"/>
    <w:rsid w:val="00684CE7"/>
    <w:rsid w:val="00684DDC"/>
    <w:rsid w:val="0068504A"/>
    <w:rsid w:val="006876A4"/>
    <w:rsid w:val="00687C8C"/>
    <w:rsid w:val="00687F40"/>
    <w:rsid w:val="00691560"/>
    <w:rsid w:val="00691DC6"/>
    <w:rsid w:val="006A0223"/>
    <w:rsid w:val="006A1990"/>
    <w:rsid w:val="006A3C3C"/>
    <w:rsid w:val="006A626B"/>
    <w:rsid w:val="006A7506"/>
    <w:rsid w:val="006B4F62"/>
    <w:rsid w:val="006C25BF"/>
    <w:rsid w:val="006C36EC"/>
    <w:rsid w:val="006C4D53"/>
    <w:rsid w:val="006C5BAB"/>
    <w:rsid w:val="006C6053"/>
    <w:rsid w:val="006D0456"/>
    <w:rsid w:val="006D332F"/>
    <w:rsid w:val="006D6555"/>
    <w:rsid w:val="006E0894"/>
    <w:rsid w:val="006E6796"/>
    <w:rsid w:val="006F0B63"/>
    <w:rsid w:val="00704210"/>
    <w:rsid w:val="007107DD"/>
    <w:rsid w:val="00716246"/>
    <w:rsid w:val="007172EF"/>
    <w:rsid w:val="00721A1D"/>
    <w:rsid w:val="007251D7"/>
    <w:rsid w:val="0072555E"/>
    <w:rsid w:val="00725AF3"/>
    <w:rsid w:val="00726C6E"/>
    <w:rsid w:val="0073438D"/>
    <w:rsid w:val="00734763"/>
    <w:rsid w:val="007403CF"/>
    <w:rsid w:val="00740A72"/>
    <w:rsid w:val="007433BB"/>
    <w:rsid w:val="00743B77"/>
    <w:rsid w:val="00744BF8"/>
    <w:rsid w:val="00752E45"/>
    <w:rsid w:val="00753B00"/>
    <w:rsid w:val="00757601"/>
    <w:rsid w:val="00761BE8"/>
    <w:rsid w:val="007674D1"/>
    <w:rsid w:val="00771A86"/>
    <w:rsid w:val="0077475F"/>
    <w:rsid w:val="00776B0A"/>
    <w:rsid w:val="00784586"/>
    <w:rsid w:val="00785BF8"/>
    <w:rsid w:val="007916E6"/>
    <w:rsid w:val="00791876"/>
    <w:rsid w:val="00794369"/>
    <w:rsid w:val="007A0E37"/>
    <w:rsid w:val="007A2923"/>
    <w:rsid w:val="007B7DD7"/>
    <w:rsid w:val="007C1542"/>
    <w:rsid w:val="007C15D8"/>
    <w:rsid w:val="007C19E6"/>
    <w:rsid w:val="007C3C40"/>
    <w:rsid w:val="007C60AB"/>
    <w:rsid w:val="007C68E5"/>
    <w:rsid w:val="007D03B1"/>
    <w:rsid w:val="007D0C52"/>
    <w:rsid w:val="007D1835"/>
    <w:rsid w:val="007E2A18"/>
    <w:rsid w:val="007E4E79"/>
    <w:rsid w:val="007F086D"/>
    <w:rsid w:val="007F250E"/>
    <w:rsid w:val="007F6181"/>
    <w:rsid w:val="008027F8"/>
    <w:rsid w:val="00802F8F"/>
    <w:rsid w:val="00803D22"/>
    <w:rsid w:val="008053D5"/>
    <w:rsid w:val="0081082F"/>
    <w:rsid w:val="00815A15"/>
    <w:rsid w:val="00817C59"/>
    <w:rsid w:val="00821D91"/>
    <w:rsid w:val="00822C07"/>
    <w:rsid w:val="00822DB7"/>
    <w:rsid w:val="0082315B"/>
    <w:rsid w:val="00826837"/>
    <w:rsid w:val="008306E5"/>
    <w:rsid w:val="00830FA8"/>
    <w:rsid w:val="008328F9"/>
    <w:rsid w:val="00834934"/>
    <w:rsid w:val="008354BE"/>
    <w:rsid w:val="00837C57"/>
    <w:rsid w:val="008409E5"/>
    <w:rsid w:val="0084263C"/>
    <w:rsid w:val="00843F3D"/>
    <w:rsid w:val="00844BBA"/>
    <w:rsid w:val="00850DD0"/>
    <w:rsid w:val="008567EE"/>
    <w:rsid w:val="0086530C"/>
    <w:rsid w:val="008664EF"/>
    <w:rsid w:val="00875ABC"/>
    <w:rsid w:val="00875D62"/>
    <w:rsid w:val="00875EFF"/>
    <w:rsid w:val="008815E0"/>
    <w:rsid w:val="0088687F"/>
    <w:rsid w:val="00887491"/>
    <w:rsid w:val="0089122B"/>
    <w:rsid w:val="00891902"/>
    <w:rsid w:val="0089766F"/>
    <w:rsid w:val="008A0174"/>
    <w:rsid w:val="008A53FC"/>
    <w:rsid w:val="008B1547"/>
    <w:rsid w:val="008B1A45"/>
    <w:rsid w:val="008B3FF6"/>
    <w:rsid w:val="008B6508"/>
    <w:rsid w:val="008B6972"/>
    <w:rsid w:val="008C03C5"/>
    <w:rsid w:val="008C0F96"/>
    <w:rsid w:val="008C2575"/>
    <w:rsid w:val="008C32B7"/>
    <w:rsid w:val="008C3384"/>
    <w:rsid w:val="008C5D5B"/>
    <w:rsid w:val="008D00B3"/>
    <w:rsid w:val="008D1EC3"/>
    <w:rsid w:val="008D27C3"/>
    <w:rsid w:val="008D3F19"/>
    <w:rsid w:val="008D6A9E"/>
    <w:rsid w:val="008E020A"/>
    <w:rsid w:val="008E172A"/>
    <w:rsid w:val="008E2368"/>
    <w:rsid w:val="008E51EE"/>
    <w:rsid w:val="008E7A88"/>
    <w:rsid w:val="008E7C47"/>
    <w:rsid w:val="008F05C1"/>
    <w:rsid w:val="008F0EAE"/>
    <w:rsid w:val="008F2A0B"/>
    <w:rsid w:val="008F5276"/>
    <w:rsid w:val="008F6F24"/>
    <w:rsid w:val="008F7D79"/>
    <w:rsid w:val="009000A7"/>
    <w:rsid w:val="00900AB7"/>
    <w:rsid w:val="00907AB3"/>
    <w:rsid w:val="0091097E"/>
    <w:rsid w:val="00910D9F"/>
    <w:rsid w:val="009112DD"/>
    <w:rsid w:val="00911B75"/>
    <w:rsid w:val="00917BD4"/>
    <w:rsid w:val="009261D4"/>
    <w:rsid w:val="00927C49"/>
    <w:rsid w:val="009336EF"/>
    <w:rsid w:val="00935E39"/>
    <w:rsid w:val="009417F9"/>
    <w:rsid w:val="009444C1"/>
    <w:rsid w:val="00947B37"/>
    <w:rsid w:val="00950B2E"/>
    <w:rsid w:val="00956EF5"/>
    <w:rsid w:val="009601E8"/>
    <w:rsid w:val="00962AAD"/>
    <w:rsid w:val="009705A8"/>
    <w:rsid w:val="009728A3"/>
    <w:rsid w:val="00973850"/>
    <w:rsid w:val="0097693E"/>
    <w:rsid w:val="00980CC6"/>
    <w:rsid w:val="00981591"/>
    <w:rsid w:val="00986155"/>
    <w:rsid w:val="00992FB6"/>
    <w:rsid w:val="00993976"/>
    <w:rsid w:val="00993D6D"/>
    <w:rsid w:val="009942E3"/>
    <w:rsid w:val="009A1947"/>
    <w:rsid w:val="009A6437"/>
    <w:rsid w:val="009A68A9"/>
    <w:rsid w:val="009B65DB"/>
    <w:rsid w:val="009C2B3C"/>
    <w:rsid w:val="009C2DF1"/>
    <w:rsid w:val="009C5C8A"/>
    <w:rsid w:val="009C74E6"/>
    <w:rsid w:val="009C7E50"/>
    <w:rsid w:val="009D0AEE"/>
    <w:rsid w:val="009D0AF5"/>
    <w:rsid w:val="009D104E"/>
    <w:rsid w:val="009D3D62"/>
    <w:rsid w:val="009E3C79"/>
    <w:rsid w:val="009E558E"/>
    <w:rsid w:val="009F7087"/>
    <w:rsid w:val="00A05446"/>
    <w:rsid w:val="00A07106"/>
    <w:rsid w:val="00A1003D"/>
    <w:rsid w:val="00A10187"/>
    <w:rsid w:val="00A10751"/>
    <w:rsid w:val="00A11A9E"/>
    <w:rsid w:val="00A22BD6"/>
    <w:rsid w:val="00A238A9"/>
    <w:rsid w:val="00A264C8"/>
    <w:rsid w:val="00A2679C"/>
    <w:rsid w:val="00A3097D"/>
    <w:rsid w:val="00A32862"/>
    <w:rsid w:val="00A338F9"/>
    <w:rsid w:val="00A40473"/>
    <w:rsid w:val="00A51B63"/>
    <w:rsid w:val="00A52D8C"/>
    <w:rsid w:val="00A533D0"/>
    <w:rsid w:val="00A57AB4"/>
    <w:rsid w:val="00A60F55"/>
    <w:rsid w:val="00A630C0"/>
    <w:rsid w:val="00A631FC"/>
    <w:rsid w:val="00A63878"/>
    <w:rsid w:val="00A63B37"/>
    <w:rsid w:val="00A6555A"/>
    <w:rsid w:val="00A71C2B"/>
    <w:rsid w:val="00A77942"/>
    <w:rsid w:val="00A8658B"/>
    <w:rsid w:val="00A86F3C"/>
    <w:rsid w:val="00A873C9"/>
    <w:rsid w:val="00A907E8"/>
    <w:rsid w:val="00A92DC4"/>
    <w:rsid w:val="00A94422"/>
    <w:rsid w:val="00A963D5"/>
    <w:rsid w:val="00A96CC9"/>
    <w:rsid w:val="00AA0F2E"/>
    <w:rsid w:val="00AA116A"/>
    <w:rsid w:val="00AA19D6"/>
    <w:rsid w:val="00AA3804"/>
    <w:rsid w:val="00AA5E5C"/>
    <w:rsid w:val="00AA6CE3"/>
    <w:rsid w:val="00AB3729"/>
    <w:rsid w:val="00AB57D3"/>
    <w:rsid w:val="00AB7D5C"/>
    <w:rsid w:val="00AC1105"/>
    <w:rsid w:val="00AC4881"/>
    <w:rsid w:val="00AC6CAA"/>
    <w:rsid w:val="00AC7F31"/>
    <w:rsid w:val="00AD2B24"/>
    <w:rsid w:val="00AD5AB5"/>
    <w:rsid w:val="00AD742B"/>
    <w:rsid w:val="00AD751C"/>
    <w:rsid w:val="00AE17C2"/>
    <w:rsid w:val="00AE7859"/>
    <w:rsid w:val="00AF0189"/>
    <w:rsid w:val="00AF4B99"/>
    <w:rsid w:val="00B005B8"/>
    <w:rsid w:val="00B04B89"/>
    <w:rsid w:val="00B11133"/>
    <w:rsid w:val="00B1352D"/>
    <w:rsid w:val="00B150E8"/>
    <w:rsid w:val="00B2022A"/>
    <w:rsid w:val="00B214A1"/>
    <w:rsid w:val="00B33B19"/>
    <w:rsid w:val="00B360FA"/>
    <w:rsid w:val="00B363B1"/>
    <w:rsid w:val="00B409F0"/>
    <w:rsid w:val="00B41F54"/>
    <w:rsid w:val="00B5276A"/>
    <w:rsid w:val="00B61DF0"/>
    <w:rsid w:val="00B62444"/>
    <w:rsid w:val="00B62A2C"/>
    <w:rsid w:val="00B62F18"/>
    <w:rsid w:val="00B632BB"/>
    <w:rsid w:val="00B64D25"/>
    <w:rsid w:val="00B7194E"/>
    <w:rsid w:val="00B75CF8"/>
    <w:rsid w:val="00B804B0"/>
    <w:rsid w:val="00B80BD5"/>
    <w:rsid w:val="00B8428D"/>
    <w:rsid w:val="00B84FC8"/>
    <w:rsid w:val="00B90A90"/>
    <w:rsid w:val="00B9243E"/>
    <w:rsid w:val="00B94178"/>
    <w:rsid w:val="00BA0EE3"/>
    <w:rsid w:val="00BA5D83"/>
    <w:rsid w:val="00BB40F6"/>
    <w:rsid w:val="00BB54EE"/>
    <w:rsid w:val="00BB5DF4"/>
    <w:rsid w:val="00BB6C4B"/>
    <w:rsid w:val="00BC2ED6"/>
    <w:rsid w:val="00BC5B5A"/>
    <w:rsid w:val="00BD01E9"/>
    <w:rsid w:val="00BD413E"/>
    <w:rsid w:val="00BD6E77"/>
    <w:rsid w:val="00BD7EBE"/>
    <w:rsid w:val="00BD7F3B"/>
    <w:rsid w:val="00BE3A11"/>
    <w:rsid w:val="00BE4035"/>
    <w:rsid w:val="00BE464B"/>
    <w:rsid w:val="00BE569E"/>
    <w:rsid w:val="00BE641D"/>
    <w:rsid w:val="00BE6F2C"/>
    <w:rsid w:val="00BE7B7C"/>
    <w:rsid w:val="00BF1B79"/>
    <w:rsid w:val="00BF2524"/>
    <w:rsid w:val="00BF3882"/>
    <w:rsid w:val="00BF4312"/>
    <w:rsid w:val="00BF7275"/>
    <w:rsid w:val="00BF72AD"/>
    <w:rsid w:val="00C00FCD"/>
    <w:rsid w:val="00C030F6"/>
    <w:rsid w:val="00C04AD4"/>
    <w:rsid w:val="00C07FD3"/>
    <w:rsid w:val="00C11B7E"/>
    <w:rsid w:val="00C1699F"/>
    <w:rsid w:val="00C232CE"/>
    <w:rsid w:val="00C25198"/>
    <w:rsid w:val="00C266A4"/>
    <w:rsid w:val="00C26777"/>
    <w:rsid w:val="00C26E9D"/>
    <w:rsid w:val="00C32024"/>
    <w:rsid w:val="00C362E0"/>
    <w:rsid w:val="00C3754E"/>
    <w:rsid w:val="00C404CB"/>
    <w:rsid w:val="00C44346"/>
    <w:rsid w:val="00C454B6"/>
    <w:rsid w:val="00C469C2"/>
    <w:rsid w:val="00C46D53"/>
    <w:rsid w:val="00C55535"/>
    <w:rsid w:val="00C55AB2"/>
    <w:rsid w:val="00C5613F"/>
    <w:rsid w:val="00C561EE"/>
    <w:rsid w:val="00C573C5"/>
    <w:rsid w:val="00C5793F"/>
    <w:rsid w:val="00C62CC5"/>
    <w:rsid w:val="00C62DC4"/>
    <w:rsid w:val="00C704FE"/>
    <w:rsid w:val="00C7160A"/>
    <w:rsid w:val="00C7625C"/>
    <w:rsid w:val="00C769DB"/>
    <w:rsid w:val="00C8345F"/>
    <w:rsid w:val="00C87D5C"/>
    <w:rsid w:val="00C915FB"/>
    <w:rsid w:val="00C92AB8"/>
    <w:rsid w:val="00C9317F"/>
    <w:rsid w:val="00C93F59"/>
    <w:rsid w:val="00C96D09"/>
    <w:rsid w:val="00C978A5"/>
    <w:rsid w:val="00CA0822"/>
    <w:rsid w:val="00CA3CB0"/>
    <w:rsid w:val="00CA3D9C"/>
    <w:rsid w:val="00CA6C10"/>
    <w:rsid w:val="00CA70B7"/>
    <w:rsid w:val="00CB0119"/>
    <w:rsid w:val="00CB0268"/>
    <w:rsid w:val="00CB0B22"/>
    <w:rsid w:val="00CB1F7E"/>
    <w:rsid w:val="00CB4F3F"/>
    <w:rsid w:val="00CB694B"/>
    <w:rsid w:val="00CB7E13"/>
    <w:rsid w:val="00CC6776"/>
    <w:rsid w:val="00CD39A0"/>
    <w:rsid w:val="00CD60F9"/>
    <w:rsid w:val="00CD6A70"/>
    <w:rsid w:val="00CE1435"/>
    <w:rsid w:val="00CE3FA0"/>
    <w:rsid w:val="00CE4518"/>
    <w:rsid w:val="00CE52CE"/>
    <w:rsid w:val="00CE5CA9"/>
    <w:rsid w:val="00CE778D"/>
    <w:rsid w:val="00D0088D"/>
    <w:rsid w:val="00D011F9"/>
    <w:rsid w:val="00D02E4F"/>
    <w:rsid w:val="00D05940"/>
    <w:rsid w:val="00D076BF"/>
    <w:rsid w:val="00D109EA"/>
    <w:rsid w:val="00D1196E"/>
    <w:rsid w:val="00D11AA8"/>
    <w:rsid w:val="00D12227"/>
    <w:rsid w:val="00D15A76"/>
    <w:rsid w:val="00D15FDB"/>
    <w:rsid w:val="00D1773B"/>
    <w:rsid w:val="00D17A48"/>
    <w:rsid w:val="00D2297E"/>
    <w:rsid w:val="00D232B9"/>
    <w:rsid w:val="00D25BA9"/>
    <w:rsid w:val="00D26A3A"/>
    <w:rsid w:val="00D26D4A"/>
    <w:rsid w:val="00D32D20"/>
    <w:rsid w:val="00D33D40"/>
    <w:rsid w:val="00D3424B"/>
    <w:rsid w:val="00D34E04"/>
    <w:rsid w:val="00D40C32"/>
    <w:rsid w:val="00D46E31"/>
    <w:rsid w:val="00D5073E"/>
    <w:rsid w:val="00D50AAA"/>
    <w:rsid w:val="00D50E44"/>
    <w:rsid w:val="00D517E0"/>
    <w:rsid w:val="00D54ABF"/>
    <w:rsid w:val="00D550C6"/>
    <w:rsid w:val="00D57DB5"/>
    <w:rsid w:val="00D60174"/>
    <w:rsid w:val="00D609F6"/>
    <w:rsid w:val="00D61EC9"/>
    <w:rsid w:val="00D624C1"/>
    <w:rsid w:val="00D633B3"/>
    <w:rsid w:val="00D666D1"/>
    <w:rsid w:val="00D67182"/>
    <w:rsid w:val="00D7264C"/>
    <w:rsid w:val="00D73164"/>
    <w:rsid w:val="00D74109"/>
    <w:rsid w:val="00D7588F"/>
    <w:rsid w:val="00D81A2F"/>
    <w:rsid w:val="00D8271F"/>
    <w:rsid w:val="00D83355"/>
    <w:rsid w:val="00D86198"/>
    <w:rsid w:val="00D871F8"/>
    <w:rsid w:val="00D93F57"/>
    <w:rsid w:val="00DA17F5"/>
    <w:rsid w:val="00DA5DD4"/>
    <w:rsid w:val="00DA73FA"/>
    <w:rsid w:val="00DA79DF"/>
    <w:rsid w:val="00DB4C0D"/>
    <w:rsid w:val="00DC0FEA"/>
    <w:rsid w:val="00DC1A80"/>
    <w:rsid w:val="00DC1AF8"/>
    <w:rsid w:val="00DC52B0"/>
    <w:rsid w:val="00DD0B3F"/>
    <w:rsid w:val="00DD2101"/>
    <w:rsid w:val="00DD7641"/>
    <w:rsid w:val="00DE03B5"/>
    <w:rsid w:val="00DE0F9E"/>
    <w:rsid w:val="00DE131A"/>
    <w:rsid w:val="00DE5475"/>
    <w:rsid w:val="00DE5E1A"/>
    <w:rsid w:val="00DF09F3"/>
    <w:rsid w:val="00DF4843"/>
    <w:rsid w:val="00E03AA5"/>
    <w:rsid w:val="00E04C08"/>
    <w:rsid w:val="00E05D94"/>
    <w:rsid w:val="00E06DC0"/>
    <w:rsid w:val="00E072DD"/>
    <w:rsid w:val="00E101A0"/>
    <w:rsid w:val="00E11013"/>
    <w:rsid w:val="00E12A19"/>
    <w:rsid w:val="00E12FA6"/>
    <w:rsid w:val="00E136B6"/>
    <w:rsid w:val="00E150F9"/>
    <w:rsid w:val="00E15496"/>
    <w:rsid w:val="00E159DC"/>
    <w:rsid w:val="00E170F6"/>
    <w:rsid w:val="00E20DC8"/>
    <w:rsid w:val="00E2152C"/>
    <w:rsid w:val="00E22167"/>
    <w:rsid w:val="00E24479"/>
    <w:rsid w:val="00E26473"/>
    <w:rsid w:val="00E30568"/>
    <w:rsid w:val="00E316E5"/>
    <w:rsid w:val="00E42965"/>
    <w:rsid w:val="00E4334C"/>
    <w:rsid w:val="00E45693"/>
    <w:rsid w:val="00E46510"/>
    <w:rsid w:val="00E46AE4"/>
    <w:rsid w:val="00E52025"/>
    <w:rsid w:val="00E55A9B"/>
    <w:rsid w:val="00E61D7C"/>
    <w:rsid w:val="00E62BAA"/>
    <w:rsid w:val="00E707A2"/>
    <w:rsid w:val="00E7204A"/>
    <w:rsid w:val="00E73CB0"/>
    <w:rsid w:val="00E80642"/>
    <w:rsid w:val="00E83149"/>
    <w:rsid w:val="00E83686"/>
    <w:rsid w:val="00E84BFB"/>
    <w:rsid w:val="00E90133"/>
    <w:rsid w:val="00EA00AE"/>
    <w:rsid w:val="00EA034F"/>
    <w:rsid w:val="00EA179A"/>
    <w:rsid w:val="00EA1A13"/>
    <w:rsid w:val="00EA5196"/>
    <w:rsid w:val="00EA5C64"/>
    <w:rsid w:val="00EB3013"/>
    <w:rsid w:val="00EC1FF0"/>
    <w:rsid w:val="00EC207D"/>
    <w:rsid w:val="00EC57C1"/>
    <w:rsid w:val="00EC6854"/>
    <w:rsid w:val="00ED0166"/>
    <w:rsid w:val="00ED7859"/>
    <w:rsid w:val="00EE1DFF"/>
    <w:rsid w:val="00EE2007"/>
    <w:rsid w:val="00EE4545"/>
    <w:rsid w:val="00EF0B4C"/>
    <w:rsid w:val="00EF1C61"/>
    <w:rsid w:val="00EF1E64"/>
    <w:rsid w:val="00EF5D6F"/>
    <w:rsid w:val="00F018B3"/>
    <w:rsid w:val="00F048B0"/>
    <w:rsid w:val="00F176DF"/>
    <w:rsid w:val="00F21350"/>
    <w:rsid w:val="00F24901"/>
    <w:rsid w:val="00F2617B"/>
    <w:rsid w:val="00F27A80"/>
    <w:rsid w:val="00F31BE4"/>
    <w:rsid w:val="00F3328A"/>
    <w:rsid w:val="00F34C78"/>
    <w:rsid w:val="00F356C8"/>
    <w:rsid w:val="00F37F6F"/>
    <w:rsid w:val="00F42B7A"/>
    <w:rsid w:val="00F456FF"/>
    <w:rsid w:val="00F47BC1"/>
    <w:rsid w:val="00F50481"/>
    <w:rsid w:val="00F517EF"/>
    <w:rsid w:val="00F53B04"/>
    <w:rsid w:val="00F55A35"/>
    <w:rsid w:val="00F561C0"/>
    <w:rsid w:val="00F632B1"/>
    <w:rsid w:val="00F63F32"/>
    <w:rsid w:val="00F644AB"/>
    <w:rsid w:val="00F67324"/>
    <w:rsid w:val="00F75AA1"/>
    <w:rsid w:val="00F8055A"/>
    <w:rsid w:val="00F86223"/>
    <w:rsid w:val="00F96E8F"/>
    <w:rsid w:val="00FA22F6"/>
    <w:rsid w:val="00FA700D"/>
    <w:rsid w:val="00FB2B34"/>
    <w:rsid w:val="00FB3C47"/>
    <w:rsid w:val="00FB4C4E"/>
    <w:rsid w:val="00FB7945"/>
    <w:rsid w:val="00FC117A"/>
    <w:rsid w:val="00FC3939"/>
    <w:rsid w:val="00FC47AE"/>
    <w:rsid w:val="00FC779E"/>
    <w:rsid w:val="00FD45A7"/>
    <w:rsid w:val="00FE270E"/>
    <w:rsid w:val="00FE4242"/>
    <w:rsid w:val="00FE6ACD"/>
    <w:rsid w:val="00FF199B"/>
    <w:rsid w:val="00FF5BB1"/>
    <w:rsid w:val="00FF6CD7"/>
    <w:rsid w:val="00FF6D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4032E"/>
  <w15:chartTrackingRefBased/>
  <w15:docId w15:val="{F0091740-1379-4146-B5E2-2F93EF97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0A90"/>
    <w:pPr>
      <w:tabs>
        <w:tab w:val="left" w:pos="284"/>
        <w:tab w:val="left" w:pos="567"/>
        <w:tab w:val="left" w:pos="851"/>
        <w:tab w:val="left" w:pos="1985"/>
        <w:tab w:val="left" w:pos="3119"/>
        <w:tab w:val="left" w:pos="4253"/>
        <w:tab w:val="right" w:pos="7655"/>
      </w:tabs>
      <w:spacing w:after="0" w:line="280" w:lineRule="exact"/>
    </w:pPr>
    <w:rPr>
      <w:rFonts w:ascii="Helvetica 45 Light" w:eastAsia="Times" w:hAnsi="Helvetica 45 Light" w:cs="Times New Roman"/>
      <w:kern w:val="0"/>
      <w:sz w:val="20"/>
      <w:szCs w:val="20"/>
      <w:lang w:eastAsia="en-GB"/>
      <w14:ligatures w14:val="none"/>
    </w:rPr>
  </w:style>
  <w:style w:type="paragraph" w:styleId="Nagwek1">
    <w:name w:val="heading 1"/>
    <w:basedOn w:val="Normalny"/>
    <w:next w:val="Normalny"/>
    <w:link w:val="Nagwek1Znak"/>
    <w:uiPriority w:val="9"/>
    <w:qFormat/>
    <w:rsid w:val="003D33A9"/>
    <w:pPr>
      <w:keepNext/>
      <w:keepLines/>
      <w:tabs>
        <w:tab w:val="clear" w:pos="284"/>
        <w:tab w:val="clear" w:pos="567"/>
        <w:tab w:val="clear" w:pos="851"/>
        <w:tab w:val="clear" w:pos="1985"/>
        <w:tab w:val="clear" w:pos="3119"/>
        <w:tab w:val="clear" w:pos="4253"/>
        <w:tab w:val="clear" w:pos="7655"/>
      </w:tab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3D33A9"/>
    <w:pPr>
      <w:keepNext/>
      <w:keepLines/>
      <w:tabs>
        <w:tab w:val="clear" w:pos="284"/>
        <w:tab w:val="clear" w:pos="567"/>
        <w:tab w:val="clear" w:pos="851"/>
        <w:tab w:val="clear" w:pos="1985"/>
        <w:tab w:val="clear" w:pos="3119"/>
        <w:tab w:val="clear" w:pos="4253"/>
        <w:tab w:val="clear" w:pos="7655"/>
      </w:tab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3D33A9"/>
    <w:pPr>
      <w:keepNext/>
      <w:keepLines/>
      <w:tabs>
        <w:tab w:val="clear" w:pos="284"/>
        <w:tab w:val="clear" w:pos="567"/>
        <w:tab w:val="clear" w:pos="851"/>
        <w:tab w:val="clear" w:pos="1985"/>
        <w:tab w:val="clear" w:pos="3119"/>
        <w:tab w:val="clear" w:pos="4253"/>
        <w:tab w:val="clear" w:pos="7655"/>
      </w:tab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3D33A9"/>
    <w:pPr>
      <w:keepNext/>
      <w:keepLines/>
      <w:tabs>
        <w:tab w:val="clear" w:pos="284"/>
        <w:tab w:val="clear" w:pos="567"/>
        <w:tab w:val="clear" w:pos="851"/>
        <w:tab w:val="clear" w:pos="1985"/>
        <w:tab w:val="clear" w:pos="3119"/>
        <w:tab w:val="clear" w:pos="4253"/>
        <w:tab w:val="clear" w:pos="7655"/>
      </w:tab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3D33A9"/>
    <w:pPr>
      <w:keepNext/>
      <w:keepLines/>
      <w:tabs>
        <w:tab w:val="clear" w:pos="284"/>
        <w:tab w:val="clear" w:pos="567"/>
        <w:tab w:val="clear" w:pos="851"/>
        <w:tab w:val="clear" w:pos="1985"/>
        <w:tab w:val="clear" w:pos="3119"/>
        <w:tab w:val="clear" w:pos="4253"/>
        <w:tab w:val="clear" w:pos="7655"/>
      </w:tab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3D33A9"/>
    <w:pPr>
      <w:keepNext/>
      <w:keepLines/>
      <w:tabs>
        <w:tab w:val="clear" w:pos="284"/>
        <w:tab w:val="clear" w:pos="567"/>
        <w:tab w:val="clear" w:pos="851"/>
        <w:tab w:val="clear" w:pos="1985"/>
        <w:tab w:val="clear" w:pos="3119"/>
        <w:tab w:val="clear" w:pos="4253"/>
        <w:tab w:val="clear" w:pos="7655"/>
      </w:tab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3D33A9"/>
    <w:pPr>
      <w:keepNext/>
      <w:keepLines/>
      <w:tabs>
        <w:tab w:val="clear" w:pos="284"/>
        <w:tab w:val="clear" w:pos="567"/>
        <w:tab w:val="clear" w:pos="851"/>
        <w:tab w:val="clear" w:pos="1985"/>
        <w:tab w:val="clear" w:pos="3119"/>
        <w:tab w:val="clear" w:pos="4253"/>
        <w:tab w:val="clear" w:pos="7655"/>
      </w:tab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3D33A9"/>
    <w:pPr>
      <w:keepNext/>
      <w:keepLines/>
      <w:tabs>
        <w:tab w:val="clear" w:pos="284"/>
        <w:tab w:val="clear" w:pos="567"/>
        <w:tab w:val="clear" w:pos="851"/>
        <w:tab w:val="clear" w:pos="1985"/>
        <w:tab w:val="clear" w:pos="3119"/>
        <w:tab w:val="clear" w:pos="4253"/>
        <w:tab w:val="clear" w:pos="7655"/>
      </w:tab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3D33A9"/>
    <w:pPr>
      <w:keepNext/>
      <w:keepLines/>
      <w:tabs>
        <w:tab w:val="clear" w:pos="284"/>
        <w:tab w:val="clear" w:pos="567"/>
        <w:tab w:val="clear" w:pos="851"/>
        <w:tab w:val="clear" w:pos="1985"/>
        <w:tab w:val="clear" w:pos="3119"/>
        <w:tab w:val="clear" w:pos="4253"/>
        <w:tab w:val="clear" w:pos="7655"/>
      </w:tab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33A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D33A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D33A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D33A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D33A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D33A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D33A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D33A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D33A9"/>
    <w:rPr>
      <w:rFonts w:eastAsiaTheme="majorEastAsia" w:cstheme="majorBidi"/>
      <w:color w:val="272727" w:themeColor="text1" w:themeTint="D8"/>
    </w:rPr>
  </w:style>
  <w:style w:type="paragraph" w:styleId="Tytu">
    <w:name w:val="Title"/>
    <w:basedOn w:val="Normalny"/>
    <w:next w:val="Normalny"/>
    <w:link w:val="TytuZnak"/>
    <w:uiPriority w:val="10"/>
    <w:qFormat/>
    <w:rsid w:val="003D33A9"/>
    <w:pPr>
      <w:tabs>
        <w:tab w:val="clear" w:pos="284"/>
        <w:tab w:val="clear" w:pos="567"/>
        <w:tab w:val="clear" w:pos="851"/>
        <w:tab w:val="clear" w:pos="1985"/>
        <w:tab w:val="clear" w:pos="3119"/>
        <w:tab w:val="clear" w:pos="4253"/>
        <w:tab w:val="clear" w:pos="7655"/>
      </w:tabs>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3D33A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33A9"/>
    <w:pPr>
      <w:numPr>
        <w:ilvl w:val="1"/>
      </w:numPr>
      <w:tabs>
        <w:tab w:val="clear" w:pos="284"/>
        <w:tab w:val="clear" w:pos="567"/>
        <w:tab w:val="clear" w:pos="851"/>
        <w:tab w:val="clear" w:pos="1985"/>
        <w:tab w:val="clear" w:pos="3119"/>
        <w:tab w:val="clear" w:pos="4253"/>
        <w:tab w:val="clear" w:pos="7655"/>
      </w:tabs>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3D33A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33A9"/>
    <w:pPr>
      <w:tabs>
        <w:tab w:val="clear" w:pos="284"/>
        <w:tab w:val="clear" w:pos="567"/>
        <w:tab w:val="clear" w:pos="851"/>
        <w:tab w:val="clear" w:pos="1985"/>
        <w:tab w:val="clear" w:pos="3119"/>
        <w:tab w:val="clear" w:pos="4253"/>
        <w:tab w:val="clear" w:pos="7655"/>
      </w:tabs>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3D33A9"/>
    <w:rPr>
      <w:i/>
      <w:iCs/>
      <w:color w:val="404040" w:themeColor="text1" w:themeTint="BF"/>
    </w:rPr>
  </w:style>
  <w:style w:type="paragraph" w:styleId="Akapitzlist">
    <w:name w:val="List Paragraph"/>
    <w:basedOn w:val="Normalny"/>
    <w:uiPriority w:val="34"/>
    <w:qFormat/>
    <w:rsid w:val="003D33A9"/>
    <w:pPr>
      <w:tabs>
        <w:tab w:val="clear" w:pos="284"/>
        <w:tab w:val="clear" w:pos="567"/>
        <w:tab w:val="clear" w:pos="851"/>
        <w:tab w:val="clear" w:pos="1985"/>
        <w:tab w:val="clear" w:pos="3119"/>
        <w:tab w:val="clear" w:pos="4253"/>
        <w:tab w:val="clear" w:pos="7655"/>
      </w:tabs>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3D33A9"/>
    <w:rPr>
      <w:i/>
      <w:iCs/>
      <w:color w:val="0F4761" w:themeColor="accent1" w:themeShade="BF"/>
    </w:rPr>
  </w:style>
  <w:style w:type="paragraph" w:styleId="Cytatintensywny">
    <w:name w:val="Intense Quote"/>
    <w:basedOn w:val="Normalny"/>
    <w:next w:val="Normalny"/>
    <w:link w:val="CytatintensywnyZnak"/>
    <w:uiPriority w:val="30"/>
    <w:qFormat/>
    <w:rsid w:val="003D33A9"/>
    <w:pPr>
      <w:pBdr>
        <w:top w:val="single" w:sz="4" w:space="10" w:color="0F4761" w:themeColor="accent1" w:themeShade="BF"/>
        <w:bottom w:val="single" w:sz="4" w:space="10" w:color="0F4761" w:themeColor="accent1" w:themeShade="BF"/>
      </w:pBdr>
      <w:tabs>
        <w:tab w:val="clear" w:pos="284"/>
        <w:tab w:val="clear" w:pos="567"/>
        <w:tab w:val="clear" w:pos="851"/>
        <w:tab w:val="clear" w:pos="1985"/>
        <w:tab w:val="clear" w:pos="3119"/>
        <w:tab w:val="clear" w:pos="4253"/>
        <w:tab w:val="clear" w:pos="7655"/>
      </w:tabs>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3D33A9"/>
    <w:rPr>
      <w:i/>
      <w:iCs/>
      <w:color w:val="0F4761" w:themeColor="accent1" w:themeShade="BF"/>
    </w:rPr>
  </w:style>
  <w:style w:type="character" w:styleId="Odwoanieintensywne">
    <w:name w:val="Intense Reference"/>
    <w:basedOn w:val="Domylnaczcionkaakapitu"/>
    <w:uiPriority w:val="32"/>
    <w:qFormat/>
    <w:rsid w:val="003D33A9"/>
    <w:rPr>
      <w:b/>
      <w:bCs/>
      <w:smallCaps/>
      <w:color w:val="0F4761" w:themeColor="accent1" w:themeShade="BF"/>
      <w:spacing w:val="5"/>
    </w:rPr>
  </w:style>
  <w:style w:type="paragraph" w:styleId="Stopka">
    <w:name w:val="footer"/>
    <w:basedOn w:val="Normalny"/>
    <w:link w:val="StopkaZnak"/>
    <w:semiHidden/>
    <w:rsid w:val="00B90A90"/>
    <w:pPr>
      <w:tabs>
        <w:tab w:val="clear" w:pos="284"/>
        <w:tab w:val="clear" w:pos="567"/>
        <w:tab w:val="clear" w:pos="851"/>
        <w:tab w:val="clear" w:pos="7655"/>
      </w:tabs>
      <w:spacing w:line="160" w:lineRule="exact"/>
    </w:pPr>
    <w:rPr>
      <w:sz w:val="12"/>
    </w:rPr>
  </w:style>
  <w:style w:type="character" w:customStyle="1" w:styleId="StopkaZnak">
    <w:name w:val="Stopka Znak"/>
    <w:basedOn w:val="Domylnaczcionkaakapitu"/>
    <w:link w:val="Stopka"/>
    <w:semiHidden/>
    <w:rsid w:val="00B90A90"/>
    <w:rPr>
      <w:rFonts w:ascii="Helvetica 45 Light" w:eastAsia="Times" w:hAnsi="Helvetica 45 Light" w:cs="Times New Roman"/>
      <w:kern w:val="0"/>
      <w:sz w:val="12"/>
      <w:szCs w:val="20"/>
      <w:lang w:eastAsia="en-GB"/>
      <w14:ligatures w14:val="none"/>
    </w:rPr>
  </w:style>
  <w:style w:type="paragraph" w:styleId="Nagwek">
    <w:name w:val="header"/>
    <w:basedOn w:val="Normalny"/>
    <w:link w:val="NagwekZnak"/>
    <w:rsid w:val="00B90A90"/>
    <w:pPr>
      <w:tabs>
        <w:tab w:val="clear" w:pos="284"/>
        <w:tab w:val="clear" w:pos="567"/>
        <w:tab w:val="clear" w:pos="851"/>
        <w:tab w:val="clear" w:pos="1985"/>
        <w:tab w:val="clear" w:pos="3119"/>
        <w:tab w:val="clear" w:pos="4253"/>
        <w:tab w:val="clear" w:pos="7655"/>
        <w:tab w:val="center" w:pos="4320"/>
        <w:tab w:val="right" w:pos="8640"/>
      </w:tabs>
    </w:pPr>
  </w:style>
  <w:style w:type="character" w:customStyle="1" w:styleId="NagwekZnak">
    <w:name w:val="Nagłówek Znak"/>
    <w:basedOn w:val="Domylnaczcionkaakapitu"/>
    <w:link w:val="Nagwek"/>
    <w:rsid w:val="00B90A90"/>
    <w:rPr>
      <w:rFonts w:ascii="Helvetica 45 Light" w:eastAsia="Times" w:hAnsi="Helvetica 45 Light" w:cs="Times New Roman"/>
      <w:kern w:val="0"/>
      <w:sz w:val="20"/>
      <w:szCs w:val="20"/>
      <w:lang w:eastAsia="en-GB"/>
      <w14:ligatures w14:val="none"/>
    </w:rPr>
  </w:style>
  <w:style w:type="paragraph" w:customStyle="1" w:styleId="Legalentity">
    <w:name w:val="Legal entity"/>
    <w:basedOn w:val="Normalny"/>
    <w:rsid w:val="00B90A90"/>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after="90" w:line="180" w:lineRule="atLeast"/>
      <w:textAlignment w:val="center"/>
    </w:pPr>
    <w:rPr>
      <w:rFonts w:ascii="ArialMT" w:eastAsia="Times New Roman" w:hAnsi="ArialMT"/>
      <w:color w:val="000000"/>
      <w:sz w:val="15"/>
    </w:rPr>
  </w:style>
  <w:style w:type="character" w:styleId="Hipercze">
    <w:name w:val="Hyperlink"/>
    <w:rsid w:val="00B90A90"/>
    <w:rPr>
      <w:color w:val="0000FF"/>
      <w:u w:val="single"/>
    </w:rPr>
  </w:style>
  <w:style w:type="paragraph" w:customStyle="1" w:styleId="Fax">
    <w:name w:val="Fax"/>
    <w:basedOn w:val="Normalny"/>
    <w:rsid w:val="00B90A90"/>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320" w:lineRule="atLeast"/>
      <w:textAlignment w:val="center"/>
    </w:pPr>
    <w:rPr>
      <w:rFonts w:ascii="Garamond3LTStd" w:eastAsia="Times New Roman" w:hAnsi="Garamond3LTStd"/>
      <w:color w:val="000000"/>
      <w:sz w:val="56"/>
    </w:rPr>
  </w:style>
  <w:style w:type="paragraph" w:customStyle="1" w:styleId="Maintext">
    <w:name w:val="Main text"/>
    <w:basedOn w:val="Normalny"/>
    <w:rsid w:val="00B90A90"/>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240" w:lineRule="atLeast"/>
      <w:textAlignment w:val="center"/>
    </w:pPr>
    <w:rPr>
      <w:rFonts w:ascii="Times New Roman" w:eastAsia="Times New Roman" w:hAnsi="Times New Roman"/>
      <w:color w:val="000000"/>
    </w:rPr>
  </w:style>
  <w:style w:type="paragraph" w:customStyle="1" w:styleId="Amember">
    <w:name w:val="A member"/>
    <w:basedOn w:val="Normalny"/>
    <w:rsid w:val="00B90A90"/>
    <w:pPr>
      <w:widowControl w:val="0"/>
      <w:tabs>
        <w:tab w:val="clear" w:pos="284"/>
        <w:tab w:val="clear" w:pos="567"/>
        <w:tab w:val="clear" w:pos="851"/>
        <w:tab w:val="clear" w:pos="1985"/>
        <w:tab w:val="clear" w:pos="3119"/>
        <w:tab w:val="clear" w:pos="4253"/>
        <w:tab w:val="clear" w:pos="7655"/>
      </w:tabs>
      <w:suppressAutoHyphens/>
      <w:autoSpaceDE w:val="0"/>
      <w:autoSpaceDN w:val="0"/>
      <w:adjustRightInd w:val="0"/>
      <w:spacing w:line="160" w:lineRule="atLeast"/>
      <w:textAlignment w:val="center"/>
    </w:pPr>
    <w:rPr>
      <w:rFonts w:ascii="FrutigerNextPro-Light" w:eastAsia="Times New Roman" w:hAnsi="FrutigerNextPro-Light"/>
      <w:color w:val="000000"/>
      <w:sz w:val="14"/>
    </w:rPr>
  </w:style>
  <w:style w:type="paragraph" w:styleId="NormalnyWeb">
    <w:name w:val="Normal (Web)"/>
    <w:basedOn w:val="Normalny"/>
    <w:uiPriority w:val="99"/>
    <w:semiHidden/>
    <w:unhideWhenUsed/>
    <w:rsid w:val="00330D8A"/>
    <w:rPr>
      <w:rFonts w:ascii="Times New Roman" w:hAnsi="Times New Roman"/>
      <w:sz w:val="24"/>
      <w:szCs w:val="24"/>
    </w:rPr>
  </w:style>
  <w:style w:type="paragraph" w:styleId="Poprawka">
    <w:name w:val="Revision"/>
    <w:hidden/>
    <w:uiPriority w:val="99"/>
    <w:semiHidden/>
    <w:rsid w:val="00472CDA"/>
    <w:pPr>
      <w:spacing w:after="0" w:line="240" w:lineRule="auto"/>
    </w:pPr>
    <w:rPr>
      <w:rFonts w:ascii="Helvetica 45 Light" w:eastAsia="Times" w:hAnsi="Helvetica 45 Light" w:cs="Times New Roman"/>
      <w:kern w:val="0"/>
      <w:sz w:val="20"/>
      <w:szCs w:val="20"/>
      <w:lang w:eastAsia="en-GB"/>
      <w14:ligatures w14:val="none"/>
    </w:rPr>
  </w:style>
  <w:style w:type="character" w:styleId="Odwoaniedokomentarza">
    <w:name w:val="annotation reference"/>
    <w:basedOn w:val="Domylnaczcionkaakapitu"/>
    <w:uiPriority w:val="99"/>
    <w:semiHidden/>
    <w:unhideWhenUsed/>
    <w:rsid w:val="00545836"/>
    <w:rPr>
      <w:sz w:val="16"/>
      <w:szCs w:val="16"/>
    </w:rPr>
  </w:style>
  <w:style w:type="paragraph" w:styleId="Tekstkomentarza">
    <w:name w:val="annotation text"/>
    <w:basedOn w:val="Normalny"/>
    <w:link w:val="TekstkomentarzaZnak"/>
    <w:uiPriority w:val="99"/>
    <w:unhideWhenUsed/>
    <w:rsid w:val="00545836"/>
    <w:pPr>
      <w:spacing w:line="240" w:lineRule="auto"/>
    </w:pPr>
  </w:style>
  <w:style w:type="character" w:customStyle="1" w:styleId="TekstkomentarzaZnak">
    <w:name w:val="Tekst komentarza Znak"/>
    <w:basedOn w:val="Domylnaczcionkaakapitu"/>
    <w:link w:val="Tekstkomentarza"/>
    <w:uiPriority w:val="99"/>
    <w:rsid w:val="00545836"/>
    <w:rPr>
      <w:rFonts w:ascii="Helvetica 45 Light" w:eastAsia="Times" w:hAnsi="Helvetica 45 Light" w:cs="Times New Roman"/>
      <w:kern w:val="0"/>
      <w:sz w:val="20"/>
      <w:szCs w:val="20"/>
      <w:lang w:eastAsia="en-GB"/>
      <w14:ligatures w14:val="none"/>
    </w:rPr>
  </w:style>
  <w:style w:type="paragraph" w:styleId="Tematkomentarza">
    <w:name w:val="annotation subject"/>
    <w:basedOn w:val="Tekstkomentarza"/>
    <w:next w:val="Tekstkomentarza"/>
    <w:link w:val="TematkomentarzaZnak"/>
    <w:uiPriority w:val="99"/>
    <w:semiHidden/>
    <w:unhideWhenUsed/>
    <w:rsid w:val="00545836"/>
    <w:rPr>
      <w:b/>
      <w:bCs/>
    </w:rPr>
  </w:style>
  <w:style w:type="character" w:customStyle="1" w:styleId="TematkomentarzaZnak">
    <w:name w:val="Temat komentarza Znak"/>
    <w:basedOn w:val="TekstkomentarzaZnak"/>
    <w:link w:val="Tematkomentarza"/>
    <w:uiPriority w:val="99"/>
    <w:semiHidden/>
    <w:rsid w:val="00545836"/>
    <w:rPr>
      <w:rFonts w:ascii="Helvetica 45 Light" w:eastAsia="Times" w:hAnsi="Helvetica 45 Light" w:cs="Times New Roman"/>
      <w:b/>
      <w:bCs/>
      <w:kern w:val="0"/>
      <w:sz w:val="20"/>
      <w:szCs w:val="20"/>
      <w:lang w:eastAsia="en-GB"/>
      <w14:ligatures w14:val="none"/>
    </w:rPr>
  </w:style>
  <w:style w:type="character" w:styleId="Nierozpoznanawzmianka">
    <w:name w:val="Unresolved Mention"/>
    <w:basedOn w:val="Domylnaczcionkaakapitu"/>
    <w:uiPriority w:val="99"/>
    <w:semiHidden/>
    <w:unhideWhenUsed/>
    <w:rsid w:val="00321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672">
      <w:bodyDiv w:val="1"/>
      <w:marLeft w:val="0"/>
      <w:marRight w:val="0"/>
      <w:marTop w:val="0"/>
      <w:marBottom w:val="0"/>
      <w:divBdr>
        <w:top w:val="none" w:sz="0" w:space="0" w:color="auto"/>
        <w:left w:val="none" w:sz="0" w:space="0" w:color="auto"/>
        <w:bottom w:val="none" w:sz="0" w:space="0" w:color="auto"/>
        <w:right w:val="none" w:sz="0" w:space="0" w:color="auto"/>
      </w:divBdr>
      <w:divsChild>
        <w:div w:id="19403420">
          <w:marLeft w:val="0"/>
          <w:marRight w:val="0"/>
          <w:marTop w:val="0"/>
          <w:marBottom w:val="0"/>
          <w:divBdr>
            <w:top w:val="none" w:sz="0" w:space="0" w:color="auto"/>
            <w:left w:val="none" w:sz="0" w:space="0" w:color="auto"/>
            <w:bottom w:val="none" w:sz="0" w:space="0" w:color="auto"/>
            <w:right w:val="none" w:sz="0" w:space="0" w:color="auto"/>
          </w:divBdr>
          <w:divsChild>
            <w:div w:id="1533422165">
              <w:marLeft w:val="0"/>
              <w:marRight w:val="0"/>
              <w:marTop w:val="0"/>
              <w:marBottom w:val="0"/>
              <w:divBdr>
                <w:top w:val="none" w:sz="0" w:space="0" w:color="auto"/>
                <w:left w:val="none" w:sz="0" w:space="0" w:color="auto"/>
                <w:bottom w:val="none" w:sz="0" w:space="0" w:color="auto"/>
                <w:right w:val="none" w:sz="0" w:space="0" w:color="auto"/>
              </w:divBdr>
              <w:divsChild>
                <w:div w:id="2066293037">
                  <w:marLeft w:val="0"/>
                  <w:marRight w:val="0"/>
                  <w:marTop w:val="0"/>
                  <w:marBottom w:val="0"/>
                  <w:divBdr>
                    <w:top w:val="none" w:sz="0" w:space="0" w:color="auto"/>
                    <w:left w:val="none" w:sz="0" w:space="0" w:color="auto"/>
                    <w:bottom w:val="none" w:sz="0" w:space="0" w:color="auto"/>
                    <w:right w:val="none" w:sz="0" w:space="0" w:color="auto"/>
                  </w:divBdr>
                  <w:divsChild>
                    <w:div w:id="187145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341180">
      <w:bodyDiv w:val="1"/>
      <w:marLeft w:val="0"/>
      <w:marRight w:val="0"/>
      <w:marTop w:val="0"/>
      <w:marBottom w:val="0"/>
      <w:divBdr>
        <w:top w:val="none" w:sz="0" w:space="0" w:color="auto"/>
        <w:left w:val="none" w:sz="0" w:space="0" w:color="auto"/>
        <w:bottom w:val="none" w:sz="0" w:space="0" w:color="auto"/>
        <w:right w:val="none" w:sz="0" w:space="0" w:color="auto"/>
      </w:divBdr>
    </w:div>
    <w:div w:id="1121067714">
      <w:bodyDiv w:val="1"/>
      <w:marLeft w:val="0"/>
      <w:marRight w:val="0"/>
      <w:marTop w:val="0"/>
      <w:marBottom w:val="0"/>
      <w:divBdr>
        <w:top w:val="none" w:sz="0" w:space="0" w:color="auto"/>
        <w:left w:val="none" w:sz="0" w:space="0" w:color="auto"/>
        <w:bottom w:val="none" w:sz="0" w:space="0" w:color="auto"/>
        <w:right w:val="none" w:sz="0" w:space="0" w:color="auto"/>
      </w:divBdr>
    </w:div>
    <w:div w:id="1130438376">
      <w:bodyDiv w:val="1"/>
      <w:marLeft w:val="0"/>
      <w:marRight w:val="0"/>
      <w:marTop w:val="0"/>
      <w:marBottom w:val="0"/>
      <w:divBdr>
        <w:top w:val="none" w:sz="0" w:space="0" w:color="auto"/>
        <w:left w:val="none" w:sz="0" w:space="0" w:color="auto"/>
        <w:bottom w:val="none" w:sz="0" w:space="0" w:color="auto"/>
        <w:right w:val="none" w:sz="0" w:space="0" w:color="auto"/>
      </w:divBdr>
    </w:div>
    <w:div w:id="1146311933">
      <w:bodyDiv w:val="1"/>
      <w:marLeft w:val="0"/>
      <w:marRight w:val="0"/>
      <w:marTop w:val="0"/>
      <w:marBottom w:val="0"/>
      <w:divBdr>
        <w:top w:val="none" w:sz="0" w:space="0" w:color="auto"/>
        <w:left w:val="none" w:sz="0" w:space="0" w:color="auto"/>
        <w:bottom w:val="none" w:sz="0" w:space="0" w:color="auto"/>
        <w:right w:val="none" w:sz="0" w:space="0" w:color="auto"/>
      </w:divBdr>
      <w:divsChild>
        <w:div w:id="1746413419">
          <w:marLeft w:val="0"/>
          <w:marRight w:val="0"/>
          <w:marTop w:val="0"/>
          <w:marBottom w:val="0"/>
          <w:divBdr>
            <w:top w:val="none" w:sz="0" w:space="0" w:color="auto"/>
            <w:left w:val="none" w:sz="0" w:space="0" w:color="auto"/>
            <w:bottom w:val="none" w:sz="0" w:space="0" w:color="auto"/>
            <w:right w:val="none" w:sz="0" w:space="0" w:color="auto"/>
          </w:divBdr>
          <w:divsChild>
            <w:div w:id="683021513">
              <w:marLeft w:val="0"/>
              <w:marRight w:val="0"/>
              <w:marTop w:val="0"/>
              <w:marBottom w:val="0"/>
              <w:divBdr>
                <w:top w:val="none" w:sz="0" w:space="0" w:color="auto"/>
                <w:left w:val="none" w:sz="0" w:space="0" w:color="auto"/>
                <w:bottom w:val="none" w:sz="0" w:space="0" w:color="auto"/>
                <w:right w:val="none" w:sz="0" w:space="0" w:color="auto"/>
              </w:divBdr>
              <w:divsChild>
                <w:div w:id="1548107775">
                  <w:marLeft w:val="0"/>
                  <w:marRight w:val="0"/>
                  <w:marTop w:val="0"/>
                  <w:marBottom w:val="0"/>
                  <w:divBdr>
                    <w:top w:val="none" w:sz="0" w:space="0" w:color="auto"/>
                    <w:left w:val="none" w:sz="0" w:space="0" w:color="auto"/>
                    <w:bottom w:val="none" w:sz="0" w:space="0" w:color="auto"/>
                    <w:right w:val="none" w:sz="0" w:space="0" w:color="auto"/>
                  </w:divBdr>
                  <w:divsChild>
                    <w:div w:id="72876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512684">
      <w:bodyDiv w:val="1"/>
      <w:marLeft w:val="0"/>
      <w:marRight w:val="0"/>
      <w:marTop w:val="0"/>
      <w:marBottom w:val="0"/>
      <w:divBdr>
        <w:top w:val="none" w:sz="0" w:space="0" w:color="auto"/>
        <w:left w:val="none" w:sz="0" w:space="0" w:color="auto"/>
        <w:bottom w:val="none" w:sz="0" w:space="0" w:color="auto"/>
        <w:right w:val="none" w:sz="0" w:space="0" w:color="auto"/>
      </w:divBdr>
    </w:div>
    <w:div w:id="194132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loitte.com/pl/pl/about/press-room/cykliczny-raport-deloitte-ponad-polowa-funduszy-private-equity-z-europy-srodkowej-niezmiennie-spodziewa-sie-wzrostu-aktywnosci-rynkowej-w-2026-r.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deloittec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loitte.com/p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deloitte.com/pl/pl/about/press-room/cykliczny-raport-deloitte-ponad-polowa-funduszy-private-equity-z-europy-srodkowej-niezmiennie-spodziewa-sie-wzrostu-aktywnosci-rynkowej-w-2026-r.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loitte.com/pl/on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011db4-53a2-4d1b-82ae-320485071b7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332A36832A0A41A9315B265E6415BB" ma:contentTypeVersion="17" ma:contentTypeDescription="Create a new document." ma:contentTypeScope="" ma:versionID="b4ed61d97aeafb8f4a98fc46eaf2ff2d">
  <xsd:schema xmlns:xsd="http://www.w3.org/2001/XMLSchema" xmlns:xs="http://www.w3.org/2001/XMLSchema" xmlns:p="http://schemas.microsoft.com/office/2006/metadata/properties" xmlns:ns2="8a011db4-53a2-4d1b-82ae-320485071b7a" xmlns:ns3="deeda2bc-8a38-4937-ba20-8ba6d0b056de" targetNamespace="http://schemas.microsoft.com/office/2006/metadata/properties" ma:root="true" ma:fieldsID="45adf27d399dbb47cad7636d66865df9" ns2:_="" ns3:_="">
    <xsd:import namespace="8a011db4-53a2-4d1b-82ae-320485071b7a"/>
    <xsd:import namespace="deeda2bc-8a38-4937-ba20-8ba6d0b056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1db4-53a2-4d1b-82ae-320485071b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da2bc-8a38-4937-ba20-8ba6d0b056d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C5CB9-A2E1-400A-AC2E-849C5219C5B7}">
  <ds:schemaRefs>
    <ds:schemaRef ds:uri="http://schemas.microsoft.com/sharepoint/v3/contenttype/forms"/>
  </ds:schemaRefs>
</ds:datastoreItem>
</file>

<file path=customXml/itemProps2.xml><?xml version="1.0" encoding="utf-8"?>
<ds:datastoreItem xmlns:ds="http://schemas.openxmlformats.org/officeDocument/2006/customXml" ds:itemID="{9090ECFC-5DEF-4510-9F0D-E6A5399E0DF1}">
  <ds:schemaRefs>
    <ds:schemaRef ds:uri="http://schemas.openxmlformats.org/officeDocument/2006/bibliography"/>
  </ds:schemaRefs>
</ds:datastoreItem>
</file>

<file path=customXml/itemProps3.xml><?xml version="1.0" encoding="utf-8"?>
<ds:datastoreItem xmlns:ds="http://schemas.openxmlformats.org/officeDocument/2006/customXml" ds:itemID="{9595EE8B-227B-44D2-8EAC-582FC0E85F5D}">
  <ds:schemaRefs>
    <ds:schemaRef ds:uri="http://schemas.microsoft.com/office/2006/metadata/properties"/>
    <ds:schemaRef ds:uri="http://schemas.microsoft.com/office/infopath/2007/PartnerControls"/>
    <ds:schemaRef ds:uri="8a011db4-53a2-4d1b-82ae-320485071b7a"/>
  </ds:schemaRefs>
</ds:datastoreItem>
</file>

<file path=customXml/itemProps4.xml><?xml version="1.0" encoding="utf-8"?>
<ds:datastoreItem xmlns:ds="http://schemas.openxmlformats.org/officeDocument/2006/customXml" ds:itemID="{4B114DD7-6707-486A-A29F-A9448B6EF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1db4-53a2-4d1b-82ae-320485071b7a"/>
    <ds:schemaRef ds:uri="deeda2bc-8a38-4937-ba20-8ba6d0b05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56</TotalTime>
  <Pages>3</Pages>
  <Words>1352</Words>
  <Characters>8998</Characters>
  <Application>Microsoft Office Word</Application>
  <DocSecurity>0</DocSecurity>
  <Lines>140</Lines>
  <Paragraphs>37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10313</CharactersWithSpaces>
  <SharedDoc>false</SharedDoc>
  <HLinks>
    <vt:vector size="18" baseType="variant">
      <vt:variant>
        <vt:i4>3997723</vt:i4>
      </vt:variant>
      <vt:variant>
        <vt:i4>3</vt:i4>
      </vt:variant>
      <vt:variant>
        <vt:i4>0</vt:i4>
      </vt:variant>
      <vt:variant>
        <vt:i4>5</vt:i4>
      </vt:variant>
      <vt:variant>
        <vt:lpwstr>mailto:media@deloittece.com</vt:lpwstr>
      </vt:variant>
      <vt:variant>
        <vt:lpwstr/>
      </vt:variant>
      <vt:variant>
        <vt:i4>3932213</vt:i4>
      </vt:variant>
      <vt:variant>
        <vt:i4>0</vt:i4>
      </vt:variant>
      <vt:variant>
        <vt:i4>0</vt:i4>
      </vt:variant>
      <vt:variant>
        <vt:i4>5</vt:i4>
      </vt:variant>
      <vt:variant>
        <vt:lpwstr>http://www.deloitte.com/pl</vt:lpwstr>
      </vt:variant>
      <vt:variant>
        <vt:lpwstr/>
      </vt:variant>
      <vt:variant>
        <vt:i4>3276916</vt:i4>
      </vt:variant>
      <vt:variant>
        <vt:i4>0</vt:i4>
      </vt:variant>
      <vt:variant>
        <vt:i4>0</vt:i4>
      </vt:variant>
      <vt:variant>
        <vt:i4>5</vt:i4>
      </vt:variant>
      <vt:variant>
        <vt:lpwstr>http://www.deloitte.com/pl/onas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Wappa-Hajdas, Daria</dc:creator>
  <cp:keywords/>
  <dc:description/>
  <cp:lastModifiedBy>Klaudia Rombalska CCG</cp:lastModifiedBy>
  <cp:revision>7</cp:revision>
  <dcterms:created xsi:type="dcterms:W3CDTF">2026-02-02T10:36:00Z</dcterms:created>
  <dcterms:modified xsi:type="dcterms:W3CDTF">2026-02-04T08:24:00Z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0x01010026332A36832A0A41A9315B265E6415BB</vt:lpwstr>
  </property>
  <property fmtid="{D5CDD505-2E9C-101B-9397-08002B2CF9AE}" pid="3" name="MediaServiceImageTags">
    <vt:lpwstr/>
  </property>
</Properties>
</file>