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4F85" w14:textId="7EC32BDC" w:rsidR="00C82525" w:rsidRPr="000763B4" w:rsidRDefault="006703D4" w:rsidP="00A25CEA">
      <w:pPr>
        <w:ind w:right="-288"/>
        <w:jc w:val="both"/>
        <w:rPr>
          <w:rFonts w:ascii="Segoe UI" w:hAnsi="Segoe UI" w:cs="Segoe UI"/>
          <w:b/>
          <w:sz w:val="44"/>
          <w:szCs w:val="44"/>
        </w:rPr>
      </w:pPr>
      <w:r w:rsidRPr="006703D4">
        <w:rPr>
          <w:rFonts w:ascii="Segoe UI" w:hAnsi="Segoe UI" w:cs="Segoe UI"/>
          <w:b/>
          <w:sz w:val="44"/>
          <w:szCs w:val="44"/>
        </w:rPr>
        <w:t xml:space="preserve">Więcej niż tylko </w:t>
      </w:r>
      <w:r w:rsidR="00A25CEA">
        <w:rPr>
          <w:rFonts w:ascii="Segoe UI" w:hAnsi="Segoe UI" w:cs="Segoe UI"/>
          <w:b/>
          <w:sz w:val="44"/>
          <w:szCs w:val="44"/>
        </w:rPr>
        <w:t>dodatki</w:t>
      </w:r>
      <w:r w:rsidRPr="006703D4">
        <w:rPr>
          <w:rFonts w:ascii="Segoe UI" w:hAnsi="Segoe UI" w:cs="Segoe UI"/>
          <w:b/>
          <w:sz w:val="44"/>
          <w:szCs w:val="44"/>
        </w:rPr>
        <w:t xml:space="preserve">: dlaczego </w:t>
      </w:r>
      <w:r w:rsidR="00A25CEA">
        <w:rPr>
          <w:rFonts w:ascii="Segoe UI" w:hAnsi="Segoe UI" w:cs="Segoe UI"/>
          <w:b/>
          <w:sz w:val="44"/>
          <w:szCs w:val="44"/>
        </w:rPr>
        <w:t>wymiana hamulców powinna obejmować również akcesoria</w:t>
      </w:r>
    </w:p>
    <w:p w14:paraId="35A08D93" w14:textId="50F407CF" w:rsidR="00C82525" w:rsidRDefault="009A5681" w:rsidP="00D93CA1">
      <w:pPr>
        <w:ind w:right="-288"/>
        <w:jc w:val="both"/>
        <w:rPr>
          <w:rFonts w:ascii="Segoe UI" w:hAnsi="Segoe UI" w:cs="Segoe UI"/>
          <w:bCs/>
        </w:rPr>
      </w:pPr>
      <w:r w:rsidRPr="000763B4">
        <w:rPr>
          <w:rFonts w:ascii="Segoe UI" w:hAnsi="Segoe UI" w:cs="Segoe UI"/>
          <w:b/>
        </w:rPr>
        <w:t xml:space="preserve">Warszawa, </w:t>
      </w:r>
      <w:r w:rsidR="00AB4C71" w:rsidRPr="00AB4C71">
        <w:rPr>
          <w:rFonts w:ascii="Segoe UI" w:hAnsi="Segoe UI" w:cs="Segoe UI"/>
          <w:b/>
        </w:rPr>
        <w:t>4</w:t>
      </w:r>
      <w:r w:rsidRPr="00AB4C71">
        <w:rPr>
          <w:rFonts w:ascii="Segoe UI" w:hAnsi="Segoe UI" w:cs="Segoe UI"/>
          <w:b/>
        </w:rPr>
        <w:t xml:space="preserve"> </w:t>
      </w:r>
      <w:r w:rsidR="00AB4C71" w:rsidRPr="00AB4C71">
        <w:rPr>
          <w:rFonts w:ascii="Segoe UI" w:hAnsi="Segoe UI" w:cs="Segoe UI"/>
          <w:b/>
        </w:rPr>
        <w:t>lutego</w:t>
      </w:r>
      <w:r w:rsidRPr="00AB4C71">
        <w:rPr>
          <w:rFonts w:ascii="Segoe UI" w:hAnsi="Segoe UI" w:cs="Segoe UI"/>
          <w:b/>
        </w:rPr>
        <w:t xml:space="preserve"> 202</w:t>
      </w:r>
      <w:r w:rsidR="00AD7E65">
        <w:rPr>
          <w:rFonts w:ascii="Segoe UI" w:hAnsi="Segoe UI" w:cs="Segoe UI"/>
          <w:b/>
        </w:rPr>
        <w:t>6</w:t>
      </w:r>
      <w:r w:rsidRPr="000763B4">
        <w:rPr>
          <w:rFonts w:ascii="Segoe UI" w:hAnsi="Segoe UI" w:cs="Segoe UI"/>
          <w:bCs/>
        </w:rPr>
        <w:t xml:space="preserve"> – </w:t>
      </w:r>
      <w:r w:rsidR="00996E43">
        <w:rPr>
          <w:rFonts w:ascii="Segoe UI" w:hAnsi="Segoe UI" w:cs="Segoe UI"/>
          <w:bCs/>
        </w:rPr>
        <w:t xml:space="preserve">Hamowanie z wysokich prędkości w trasie, jak również częste zatrzymywanie podczas jazdy miejskiej </w:t>
      </w:r>
      <w:r w:rsidR="006703D4" w:rsidRPr="006703D4">
        <w:rPr>
          <w:rFonts w:ascii="Segoe UI" w:hAnsi="Segoe UI" w:cs="Segoe UI"/>
          <w:bCs/>
        </w:rPr>
        <w:t xml:space="preserve">powodują, że </w:t>
      </w:r>
      <w:r w:rsidR="006703D4" w:rsidRPr="00A25CEA">
        <w:rPr>
          <w:rFonts w:ascii="Segoe UI" w:hAnsi="Segoe UI" w:cs="Segoe UI"/>
          <w:bCs/>
        </w:rPr>
        <w:t>hamulc</w:t>
      </w:r>
      <w:r w:rsidR="00A25CEA" w:rsidRPr="00A25CEA">
        <w:rPr>
          <w:rFonts w:ascii="Segoe UI" w:hAnsi="Segoe UI" w:cs="Segoe UI"/>
          <w:bCs/>
        </w:rPr>
        <w:t>e</w:t>
      </w:r>
      <w:r w:rsidR="006703D4" w:rsidRPr="00A25CEA">
        <w:rPr>
          <w:rFonts w:ascii="Segoe UI" w:hAnsi="Segoe UI" w:cs="Segoe UI"/>
          <w:bCs/>
        </w:rPr>
        <w:t xml:space="preserve"> pojazdu poddawan</w:t>
      </w:r>
      <w:r w:rsidR="00A25CEA" w:rsidRPr="00A25CEA">
        <w:rPr>
          <w:rFonts w:ascii="Segoe UI" w:hAnsi="Segoe UI" w:cs="Segoe UI"/>
          <w:bCs/>
        </w:rPr>
        <w:t>e</w:t>
      </w:r>
      <w:r w:rsidR="006703D4" w:rsidRPr="00A25CEA">
        <w:rPr>
          <w:rFonts w:ascii="Segoe UI" w:hAnsi="Segoe UI" w:cs="Segoe UI"/>
          <w:bCs/>
        </w:rPr>
        <w:t xml:space="preserve"> </w:t>
      </w:r>
      <w:r w:rsidR="00A25CEA" w:rsidRPr="00A25CEA">
        <w:rPr>
          <w:rFonts w:ascii="Segoe UI" w:hAnsi="Segoe UI" w:cs="Segoe UI"/>
          <w:bCs/>
        </w:rPr>
        <w:t>są</w:t>
      </w:r>
      <w:r w:rsidR="006703D4" w:rsidRPr="00A25CEA">
        <w:rPr>
          <w:rFonts w:ascii="Segoe UI" w:hAnsi="Segoe UI" w:cs="Segoe UI"/>
          <w:bCs/>
        </w:rPr>
        <w:t xml:space="preserve"> ekstremalnym obciążeniom mechanicznym</w:t>
      </w:r>
      <w:r w:rsidR="00A25CEA" w:rsidRPr="00A25CEA">
        <w:rPr>
          <w:rFonts w:ascii="Segoe UI" w:hAnsi="Segoe UI" w:cs="Segoe UI"/>
          <w:bCs/>
        </w:rPr>
        <w:t xml:space="preserve"> i termicznym</w:t>
      </w:r>
      <w:r w:rsidR="006703D4" w:rsidRPr="00A25CEA">
        <w:rPr>
          <w:rFonts w:ascii="Segoe UI" w:hAnsi="Segoe UI" w:cs="Segoe UI"/>
          <w:bCs/>
        </w:rPr>
        <w:t>. Ma to wpływ nie tylko na klocki i tarcze, ale na cały układ hamulcowy.</w:t>
      </w:r>
      <w:r w:rsidR="006703D4" w:rsidRPr="006703D4">
        <w:rPr>
          <w:rFonts w:ascii="Segoe UI" w:hAnsi="Segoe UI" w:cs="Segoe UI"/>
          <w:bCs/>
        </w:rPr>
        <w:t xml:space="preserve"> Jednak podczas gdy klocki i tarcze hamulcowe są regularnie sprawdzane i wymieniane, akcesoria do klocków hamulcowych</w:t>
      </w:r>
      <w:r w:rsidR="002F2DA9">
        <w:rPr>
          <w:rFonts w:ascii="Segoe UI" w:hAnsi="Segoe UI" w:cs="Segoe UI"/>
          <w:bCs/>
        </w:rPr>
        <w:t xml:space="preserve"> najczęściej się pomija</w:t>
      </w:r>
      <w:r w:rsidR="006703D4" w:rsidRPr="006703D4">
        <w:rPr>
          <w:rFonts w:ascii="Segoe UI" w:hAnsi="Segoe UI" w:cs="Segoe UI"/>
          <w:bCs/>
        </w:rPr>
        <w:t xml:space="preserve">. </w:t>
      </w:r>
      <w:r w:rsidR="002F2DA9">
        <w:rPr>
          <w:rFonts w:ascii="Segoe UI" w:hAnsi="Segoe UI" w:cs="Segoe UI"/>
          <w:bCs/>
        </w:rPr>
        <w:t>A z</w:t>
      </w:r>
      <w:r w:rsidR="006703D4" w:rsidRPr="006703D4">
        <w:rPr>
          <w:rFonts w:ascii="Segoe UI" w:hAnsi="Segoe UI" w:cs="Segoe UI"/>
          <w:bCs/>
        </w:rPr>
        <w:t xml:space="preserve">aniedbanie elementów takich jak </w:t>
      </w:r>
      <w:r w:rsidR="002F2DA9">
        <w:rPr>
          <w:rFonts w:ascii="Segoe UI" w:hAnsi="Segoe UI" w:cs="Segoe UI"/>
          <w:bCs/>
        </w:rPr>
        <w:t>blaszki</w:t>
      </w:r>
      <w:r w:rsidR="006703D4" w:rsidRPr="006703D4">
        <w:rPr>
          <w:rFonts w:ascii="Segoe UI" w:hAnsi="Segoe UI" w:cs="Segoe UI"/>
          <w:bCs/>
        </w:rPr>
        <w:t>, podkładki, czujniki</w:t>
      </w:r>
      <w:r w:rsidR="002F2DA9">
        <w:rPr>
          <w:rFonts w:ascii="Segoe UI" w:hAnsi="Segoe UI" w:cs="Segoe UI"/>
          <w:bCs/>
        </w:rPr>
        <w:t xml:space="preserve"> i mocowania </w:t>
      </w:r>
      <w:r w:rsidR="006703D4" w:rsidRPr="006703D4">
        <w:rPr>
          <w:rFonts w:ascii="Segoe UI" w:hAnsi="Segoe UI" w:cs="Segoe UI"/>
          <w:bCs/>
        </w:rPr>
        <w:t>może pogorszyć skuteczność hamowania, zwiększyć zużycie i doprowadzić do przedwczesnej awarii układu.</w:t>
      </w:r>
    </w:p>
    <w:p w14:paraId="040E0E6B" w14:textId="0A40FCA8" w:rsidR="006703D4" w:rsidRDefault="006703D4" w:rsidP="00D93CA1">
      <w:pPr>
        <w:ind w:right="-288"/>
        <w:jc w:val="both"/>
        <w:rPr>
          <w:rFonts w:ascii="Segoe UI" w:hAnsi="Segoe UI" w:cs="Segoe UI"/>
          <w:bCs/>
        </w:rPr>
      </w:pPr>
      <w:r w:rsidRPr="006703D4">
        <w:rPr>
          <w:rFonts w:ascii="Segoe UI" w:hAnsi="Segoe UI" w:cs="Segoe UI"/>
          <w:bCs/>
        </w:rPr>
        <w:t>Scott Irwin, kierownik ds. szkoleń technicznych w firmie TMD Friction</w:t>
      </w:r>
      <w:r w:rsidR="00A25CEA">
        <w:rPr>
          <w:rFonts w:ascii="Segoe UI" w:hAnsi="Segoe UI" w:cs="Segoe UI"/>
          <w:bCs/>
        </w:rPr>
        <w:t xml:space="preserve">, do której należy </w:t>
      </w:r>
      <w:r w:rsidRPr="006703D4">
        <w:rPr>
          <w:rFonts w:ascii="Segoe UI" w:hAnsi="Segoe UI" w:cs="Segoe UI"/>
          <w:bCs/>
        </w:rPr>
        <w:t>mark</w:t>
      </w:r>
      <w:r w:rsidR="00A25CEA">
        <w:rPr>
          <w:rFonts w:ascii="Segoe UI" w:hAnsi="Segoe UI" w:cs="Segoe UI"/>
          <w:bCs/>
        </w:rPr>
        <w:t>a</w:t>
      </w:r>
      <w:r w:rsidRPr="006703D4">
        <w:rPr>
          <w:rFonts w:ascii="Segoe UI" w:hAnsi="Segoe UI" w:cs="Segoe UI"/>
          <w:bCs/>
        </w:rPr>
        <w:t xml:space="preserve"> Bendix</w:t>
      </w:r>
      <w:r w:rsidR="00A25CEA">
        <w:rPr>
          <w:rFonts w:ascii="Segoe UI" w:hAnsi="Segoe UI" w:cs="Segoe UI"/>
          <w:bCs/>
        </w:rPr>
        <w:t xml:space="preserve">, </w:t>
      </w:r>
      <w:r w:rsidRPr="006703D4">
        <w:rPr>
          <w:rFonts w:ascii="Segoe UI" w:hAnsi="Segoe UI" w:cs="Segoe UI"/>
          <w:bCs/>
        </w:rPr>
        <w:t>wyjaśnia, czym są akcesoria do klocków hamulcowych i dlaczego są one niezbędne.</w:t>
      </w:r>
    </w:p>
    <w:p w14:paraId="177EF773" w14:textId="77777777" w:rsidR="006703D4" w:rsidRPr="006703D4" w:rsidRDefault="006703D4" w:rsidP="006703D4">
      <w:pPr>
        <w:ind w:right="-288"/>
        <w:jc w:val="both"/>
        <w:rPr>
          <w:rFonts w:ascii="Segoe UI" w:hAnsi="Segoe UI" w:cs="Segoe UI"/>
          <w:b/>
          <w:color w:val="595959" w:themeColor="text1" w:themeTint="A6"/>
        </w:rPr>
      </w:pPr>
      <w:r w:rsidRPr="006703D4">
        <w:rPr>
          <w:rFonts w:ascii="Segoe UI" w:hAnsi="Segoe UI" w:cs="Segoe UI"/>
          <w:b/>
          <w:color w:val="595959" w:themeColor="text1" w:themeTint="A6"/>
        </w:rPr>
        <w:t>Czym są akcesoria do klocków hamulcowych?</w:t>
      </w:r>
    </w:p>
    <w:p w14:paraId="210D343D" w14:textId="4D771255" w:rsidR="006703D4" w:rsidRPr="000763B4" w:rsidRDefault="006703D4" w:rsidP="006703D4">
      <w:pPr>
        <w:ind w:right="-288"/>
        <w:jc w:val="both"/>
        <w:rPr>
          <w:rFonts w:ascii="Segoe UI" w:hAnsi="Segoe UI" w:cs="Segoe UI"/>
          <w:bCs/>
        </w:rPr>
      </w:pPr>
      <w:r w:rsidRPr="006703D4">
        <w:rPr>
          <w:rFonts w:ascii="Segoe UI" w:hAnsi="Segoe UI" w:cs="Segoe UI"/>
          <w:bCs/>
        </w:rPr>
        <w:t>Akcesoria to elementy pomocnicze, które zapewniają prawidłow</w:t>
      </w:r>
      <w:r w:rsidR="00F14E6B">
        <w:rPr>
          <w:rFonts w:ascii="Segoe UI" w:hAnsi="Segoe UI" w:cs="Segoe UI"/>
          <w:bCs/>
        </w:rPr>
        <w:t>y montaż i</w:t>
      </w:r>
      <w:r w:rsidRPr="006703D4">
        <w:rPr>
          <w:rFonts w:ascii="Segoe UI" w:hAnsi="Segoe UI" w:cs="Segoe UI"/>
          <w:bCs/>
        </w:rPr>
        <w:t xml:space="preserve"> działanie nowych klocków </w:t>
      </w:r>
      <w:r w:rsidR="00F14E6B">
        <w:rPr>
          <w:rFonts w:ascii="Segoe UI" w:hAnsi="Segoe UI" w:cs="Segoe UI"/>
          <w:bCs/>
        </w:rPr>
        <w:t>oraz</w:t>
      </w:r>
      <w:r w:rsidR="00F14E6B" w:rsidRPr="006703D4">
        <w:rPr>
          <w:rFonts w:ascii="Segoe UI" w:hAnsi="Segoe UI" w:cs="Segoe UI"/>
          <w:bCs/>
        </w:rPr>
        <w:t xml:space="preserve"> tarcz </w:t>
      </w:r>
      <w:r w:rsidRPr="006703D4">
        <w:rPr>
          <w:rFonts w:ascii="Segoe UI" w:hAnsi="Segoe UI" w:cs="Segoe UI"/>
          <w:bCs/>
        </w:rPr>
        <w:t xml:space="preserve">hamulcowych. Ich </w:t>
      </w:r>
      <w:r w:rsidR="00F14E6B">
        <w:rPr>
          <w:rFonts w:ascii="Segoe UI" w:hAnsi="Segoe UI" w:cs="Segoe UI"/>
          <w:bCs/>
        </w:rPr>
        <w:t xml:space="preserve">szczegółowe funkcje są </w:t>
      </w:r>
      <w:r w:rsidRPr="006703D4">
        <w:rPr>
          <w:rFonts w:ascii="Segoe UI" w:hAnsi="Segoe UI" w:cs="Segoe UI"/>
          <w:bCs/>
        </w:rPr>
        <w:t xml:space="preserve">różne, ale każdy z nich odgrywa ważną rolę w ogólnej wydajności układu hamulcowego. W asortymencie </w:t>
      </w:r>
      <w:r w:rsidR="00A666D8">
        <w:rPr>
          <w:rFonts w:ascii="Segoe UI" w:hAnsi="Segoe UI" w:cs="Segoe UI"/>
          <w:bCs/>
        </w:rPr>
        <w:t>Bendix</w:t>
      </w:r>
      <w:r w:rsidRPr="006703D4">
        <w:rPr>
          <w:rFonts w:ascii="Segoe UI" w:hAnsi="Segoe UI" w:cs="Segoe UI"/>
          <w:bCs/>
        </w:rPr>
        <w:t xml:space="preserve"> akcesoria do klocków hamulcowych obejmują zazwyczaj:</w:t>
      </w:r>
    </w:p>
    <w:p w14:paraId="7FFE1C72" w14:textId="6FD5AC5E" w:rsidR="006703D4" w:rsidRPr="00053661" w:rsidRDefault="00A666D8" w:rsidP="00053661">
      <w:pPr>
        <w:pStyle w:val="Akapitzlist"/>
        <w:numPr>
          <w:ilvl w:val="0"/>
          <w:numId w:val="21"/>
        </w:numPr>
      </w:pPr>
      <w:r w:rsidRPr="00053661">
        <w:t>Blaszki</w:t>
      </w:r>
      <w:r w:rsidR="006703D4" w:rsidRPr="00053661">
        <w:t xml:space="preserve"> przeciwdrganiowe: zapobiegają przemieszczaniu się klocków i hałasowi</w:t>
      </w:r>
      <w:r w:rsidR="00625D89" w:rsidRPr="00053661">
        <w:t>;</w:t>
      </w:r>
    </w:p>
    <w:p w14:paraId="52964330" w14:textId="17375A8C" w:rsidR="006703D4" w:rsidRPr="00053661" w:rsidRDefault="006703D4" w:rsidP="00053661">
      <w:pPr>
        <w:pStyle w:val="Akapitzlist"/>
        <w:numPr>
          <w:ilvl w:val="0"/>
          <w:numId w:val="21"/>
        </w:numPr>
      </w:pPr>
      <w:r w:rsidRPr="00053661">
        <w:t>Podkładki: redukują drgania i hałas</w:t>
      </w:r>
      <w:r w:rsidR="00625D89" w:rsidRPr="00053661">
        <w:t>,</w:t>
      </w:r>
      <w:r w:rsidRPr="00053661">
        <w:t xml:space="preserve"> pomagają w równomiernym rozłożeniu nacisku</w:t>
      </w:r>
      <w:r w:rsidR="00625D89" w:rsidRPr="00053661">
        <w:t>;</w:t>
      </w:r>
    </w:p>
    <w:p w14:paraId="699C795A" w14:textId="52555E70" w:rsidR="006703D4" w:rsidRPr="00053661" w:rsidRDefault="00625D89" w:rsidP="00053661">
      <w:pPr>
        <w:pStyle w:val="Akapitzlist"/>
        <w:numPr>
          <w:ilvl w:val="0"/>
          <w:numId w:val="21"/>
        </w:numPr>
      </w:pPr>
      <w:r w:rsidRPr="00053661">
        <w:t>Wskaźniki</w:t>
      </w:r>
      <w:r w:rsidR="006703D4" w:rsidRPr="00053661">
        <w:t xml:space="preserve"> zużycia: monitorują grubość klocków i sygnalizują konieczność ich wymiany</w:t>
      </w:r>
      <w:r w:rsidRPr="00053661">
        <w:t>;</w:t>
      </w:r>
    </w:p>
    <w:p w14:paraId="32E867A2" w14:textId="0EB6D55A" w:rsidR="006703D4" w:rsidRPr="00053661" w:rsidRDefault="006703D4" w:rsidP="00053661">
      <w:pPr>
        <w:pStyle w:val="Akapitzlist"/>
        <w:numPr>
          <w:ilvl w:val="0"/>
          <w:numId w:val="21"/>
        </w:numPr>
      </w:pPr>
      <w:r w:rsidRPr="00053661">
        <w:t>Sworznie ustalające i sprężyny: mocują klocki w zacisku</w:t>
      </w:r>
      <w:r w:rsidR="00625D89" w:rsidRPr="00053661">
        <w:t>;</w:t>
      </w:r>
    </w:p>
    <w:p w14:paraId="308BA9AD" w14:textId="43791B44" w:rsidR="006703D4" w:rsidRPr="00053661" w:rsidRDefault="006703D4" w:rsidP="00053661">
      <w:pPr>
        <w:pStyle w:val="Akapitzlist"/>
        <w:numPr>
          <w:ilvl w:val="0"/>
          <w:numId w:val="21"/>
        </w:numPr>
      </w:pPr>
      <w:r w:rsidRPr="00053661">
        <w:t xml:space="preserve">Elementy mocujące: zapewniają prawidłowe ustawienie i </w:t>
      </w:r>
      <w:r w:rsidR="00625D89" w:rsidRPr="00053661">
        <w:t>ruch</w:t>
      </w:r>
      <w:r w:rsidRPr="00053661">
        <w:t xml:space="preserve"> klocków.</w:t>
      </w:r>
    </w:p>
    <w:p w14:paraId="2F69868E" w14:textId="2735C8D1" w:rsidR="006703D4" w:rsidRPr="006703D4" w:rsidRDefault="006703D4" w:rsidP="006703D4">
      <w:pPr>
        <w:ind w:right="-288"/>
        <w:jc w:val="both"/>
        <w:rPr>
          <w:rFonts w:ascii="Segoe UI" w:hAnsi="Segoe UI" w:cs="Segoe UI"/>
          <w:bCs/>
        </w:rPr>
      </w:pPr>
      <w:r w:rsidRPr="006703D4">
        <w:rPr>
          <w:rFonts w:ascii="Segoe UI" w:hAnsi="Segoe UI" w:cs="Segoe UI"/>
          <w:bCs/>
        </w:rPr>
        <w:t>Akcesoria do klocków hamulcowych powinny być montowane zgodnie z</w:t>
      </w:r>
      <w:r w:rsidR="002E5FB3">
        <w:rPr>
          <w:rFonts w:ascii="Segoe UI" w:hAnsi="Segoe UI" w:cs="Segoe UI"/>
          <w:bCs/>
        </w:rPr>
        <w:t xml:space="preserve"> czterema krokami dotyczącymi serwisu hamulców zalecanymi przez</w:t>
      </w:r>
      <w:r w:rsidR="00053661">
        <w:rPr>
          <w:rFonts w:ascii="Segoe UI" w:hAnsi="Segoe UI" w:cs="Segoe UI"/>
          <w:bCs/>
        </w:rPr>
        <w:t xml:space="preserve"> Bendix:</w:t>
      </w:r>
    </w:p>
    <w:p w14:paraId="7E5BB32C" w14:textId="768F898E" w:rsidR="006703D4" w:rsidRPr="00053661" w:rsidRDefault="006703D4" w:rsidP="00053661">
      <w:pPr>
        <w:pStyle w:val="Akapitzlist"/>
        <w:numPr>
          <w:ilvl w:val="0"/>
          <w:numId w:val="23"/>
        </w:numPr>
      </w:pPr>
      <w:r w:rsidRPr="00053661">
        <w:t>Dokładnie wyczyść</w:t>
      </w:r>
    </w:p>
    <w:p w14:paraId="1EF5AB07" w14:textId="38A214DC" w:rsidR="006703D4" w:rsidRPr="00053661" w:rsidRDefault="006703D4" w:rsidP="00053661">
      <w:pPr>
        <w:pStyle w:val="Akapitzlist"/>
        <w:numPr>
          <w:ilvl w:val="0"/>
          <w:numId w:val="23"/>
        </w:numPr>
      </w:pPr>
      <w:r w:rsidRPr="00053661">
        <w:t>Prawidłowo nasmaruj</w:t>
      </w:r>
    </w:p>
    <w:p w14:paraId="51AEF1C0" w14:textId="6A36311A" w:rsidR="006703D4" w:rsidRPr="00053661" w:rsidRDefault="00053661" w:rsidP="00053661">
      <w:pPr>
        <w:pStyle w:val="Akapitzlist"/>
        <w:numPr>
          <w:ilvl w:val="0"/>
          <w:numId w:val="23"/>
        </w:numPr>
      </w:pPr>
      <w:r>
        <w:t>Wymień akcesoria</w:t>
      </w:r>
    </w:p>
    <w:p w14:paraId="08DFFE31" w14:textId="06B8CBCD" w:rsidR="006703D4" w:rsidRPr="00053661" w:rsidRDefault="002E5FB3" w:rsidP="00053661">
      <w:pPr>
        <w:pStyle w:val="Akapitzlist"/>
        <w:numPr>
          <w:ilvl w:val="0"/>
          <w:numId w:val="23"/>
        </w:numPr>
      </w:pPr>
      <w:r>
        <w:t>P</w:t>
      </w:r>
      <w:r w:rsidR="00082FE2">
        <w:t>rzez</w:t>
      </w:r>
      <w:r>
        <w:t xml:space="preserve"> pierwsze</w:t>
      </w:r>
      <w:r w:rsidR="006703D4" w:rsidRPr="00053661">
        <w:t xml:space="preserve"> 200 km</w:t>
      </w:r>
      <w:r>
        <w:t xml:space="preserve"> jedź spokojnie</w:t>
      </w:r>
      <w:r w:rsidR="006703D4" w:rsidRPr="00053661">
        <w:t xml:space="preserve">, aby </w:t>
      </w:r>
      <w:r w:rsidR="00053661">
        <w:t>części</w:t>
      </w:r>
      <w:r w:rsidR="006703D4" w:rsidRPr="00053661">
        <w:t xml:space="preserve"> </w:t>
      </w:r>
      <w:r>
        <w:t xml:space="preserve">mogły </w:t>
      </w:r>
      <w:r w:rsidR="006703D4" w:rsidRPr="00053661">
        <w:t>się dotr</w:t>
      </w:r>
      <w:r>
        <w:t>zeć</w:t>
      </w:r>
    </w:p>
    <w:p w14:paraId="7CDCA132" w14:textId="1045DE14" w:rsidR="006703D4" w:rsidRPr="006703D4" w:rsidRDefault="006703D4" w:rsidP="006703D4">
      <w:pPr>
        <w:ind w:right="-288"/>
        <w:jc w:val="both"/>
        <w:rPr>
          <w:rFonts w:ascii="Segoe UI" w:hAnsi="Segoe UI" w:cs="Segoe UI"/>
          <w:b/>
          <w:color w:val="595959" w:themeColor="text1" w:themeTint="A6"/>
        </w:rPr>
      </w:pPr>
      <w:r w:rsidRPr="006703D4">
        <w:rPr>
          <w:rFonts w:ascii="Segoe UI" w:hAnsi="Segoe UI" w:cs="Segoe UI"/>
          <w:b/>
          <w:color w:val="595959" w:themeColor="text1" w:themeTint="A6"/>
        </w:rPr>
        <w:t xml:space="preserve">Dlaczego </w:t>
      </w:r>
      <w:r w:rsidR="00082FE2">
        <w:rPr>
          <w:rFonts w:ascii="Segoe UI" w:hAnsi="Segoe UI" w:cs="Segoe UI"/>
          <w:b/>
          <w:color w:val="595959" w:themeColor="text1" w:themeTint="A6"/>
        </w:rPr>
        <w:t>warto</w:t>
      </w:r>
      <w:r w:rsidRPr="006703D4">
        <w:rPr>
          <w:rFonts w:ascii="Segoe UI" w:hAnsi="Segoe UI" w:cs="Segoe UI"/>
          <w:b/>
          <w:color w:val="595959" w:themeColor="text1" w:themeTint="A6"/>
        </w:rPr>
        <w:t xml:space="preserve"> wymieniać akcesoria? </w:t>
      </w:r>
    </w:p>
    <w:p w14:paraId="37210269" w14:textId="6475A24F" w:rsidR="006703D4" w:rsidRPr="006703D4" w:rsidRDefault="006703D4" w:rsidP="006703D4">
      <w:pPr>
        <w:ind w:right="-288"/>
        <w:jc w:val="both"/>
        <w:rPr>
          <w:rFonts w:ascii="Segoe UI" w:hAnsi="Segoe UI" w:cs="Segoe UI"/>
          <w:bCs/>
        </w:rPr>
      </w:pPr>
      <w:r w:rsidRPr="006703D4">
        <w:rPr>
          <w:rFonts w:ascii="Segoe UI" w:hAnsi="Segoe UI" w:cs="Segoe UI"/>
          <w:bCs/>
        </w:rPr>
        <w:t>Klocki hamulcowe i</w:t>
      </w:r>
      <w:r w:rsidR="00082FE2">
        <w:rPr>
          <w:rFonts w:ascii="Segoe UI" w:hAnsi="Segoe UI" w:cs="Segoe UI"/>
          <w:bCs/>
        </w:rPr>
        <w:t xml:space="preserve"> związane z nimi</w:t>
      </w:r>
      <w:r w:rsidRPr="006703D4">
        <w:rPr>
          <w:rFonts w:ascii="Segoe UI" w:hAnsi="Segoe UI" w:cs="Segoe UI"/>
          <w:bCs/>
        </w:rPr>
        <w:t xml:space="preserve"> akcesoria są narażone na działanie wysokich temperatur, </w:t>
      </w:r>
      <w:r w:rsidR="00082FE2" w:rsidRPr="006703D4">
        <w:rPr>
          <w:rFonts w:ascii="Segoe UI" w:hAnsi="Segoe UI" w:cs="Segoe UI"/>
          <w:bCs/>
        </w:rPr>
        <w:t xml:space="preserve">podczas gwałtownego hamowania </w:t>
      </w:r>
      <w:r w:rsidRPr="006703D4">
        <w:rPr>
          <w:rFonts w:ascii="Segoe UI" w:hAnsi="Segoe UI" w:cs="Segoe UI"/>
          <w:bCs/>
        </w:rPr>
        <w:t xml:space="preserve">przekraczających 400°C. Z czasem może to prowadzić do kilku problemów. </w:t>
      </w:r>
    </w:p>
    <w:p w14:paraId="0B1985F9" w14:textId="7A6F23E7" w:rsidR="006703D4" w:rsidRDefault="006703D4" w:rsidP="006703D4">
      <w:pPr>
        <w:ind w:right="-288"/>
        <w:jc w:val="both"/>
        <w:rPr>
          <w:rFonts w:ascii="Segoe UI" w:hAnsi="Segoe UI" w:cs="Segoe UI"/>
          <w:bCs/>
        </w:rPr>
      </w:pPr>
      <w:r w:rsidRPr="006703D4">
        <w:rPr>
          <w:rFonts w:ascii="Segoe UI" w:hAnsi="Segoe UI" w:cs="Segoe UI"/>
          <w:bCs/>
        </w:rPr>
        <w:t xml:space="preserve">Podwyższone temperatury </w:t>
      </w:r>
      <w:r w:rsidR="00082FE2">
        <w:rPr>
          <w:rFonts w:ascii="Segoe UI" w:hAnsi="Segoe UI" w:cs="Segoe UI"/>
          <w:bCs/>
        </w:rPr>
        <w:t>pracy</w:t>
      </w:r>
      <w:r w:rsidRPr="006703D4">
        <w:rPr>
          <w:rFonts w:ascii="Segoe UI" w:hAnsi="Segoe UI" w:cs="Segoe UI"/>
          <w:bCs/>
        </w:rPr>
        <w:t xml:space="preserve"> powodują stopniową utratę spręży</w:t>
      </w:r>
      <w:r w:rsidR="00CC0DD0">
        <w:rPr>
          <w:rFonts w:ascii="Segoe UI" w:hAnsi="Segoe UI" w:cs="Segoe UI"/>
          <w:bCs/>
        </w:rPr>
        <w:t>stości</w:t>
      </w:r>
      <w:r w:rsidRPr="006703D4">
        <w:rPr>
          <w:rFonts w:ascii="Segoe UI" w:hAnsi="Segoe UI" w:cs="Segoe UI"/>
          <w:bCs/>
        </w:rPr>
        <w:t xml:space="preserve"> zacisk</w:t>
      </w:r>
      <w:r w:rsidR="00CC0DD0">
        <w:rPr>
          <w:rFonts w:ascii="Segoe UI" w:hAnsi="Segoe UI" w:cs="Segoe UI"/>
          <w:bCs/>
        </w:rPr>
        <w:t>ów</w:t>
      </w:r>
      <w:r w:rsidRPr="006703D4">
        <w:rPr>
          <w:rFonts w:ascii="Segoe UI" w:hAnsi="Segoe UI" w:cs="Segoe UI"/>
          <w:bCs/>
        </w:rPr>
        <w:t xml:space="preserve"> i element</w:t>
      </w:r>
      <w:r w:rsidR="00CC0DD0">
        <w:rPr>
          <w:rFonts w:ascii="Segoe UI" w:hAnsi="Segoe UI" w:cs="Segoe UI"/>
          <w:bCs/>
        </w:rPr>
        <w:t>ów</w:t>
      </w:r>
      <w:r w:rsidRPr="006703D4">
        <w:rPr>
          <w:rFonts w:ascii="Segoe UI" w:hAnsi="Segoe UI" w:cs="Segoe UI"/>
          <w:bCs/>
        </w:rPr>
        <w:t xml:space="preserve"> mocujących, jednocześnie sprzyjając utlenianiu i korozji elementów stalowych. Proces ten ulega </w:t>
      </w:r>
      <w:r w:rsidRPr="006703D4">
        <w:rPr>
          <w:rFonts w:ascii="Segoe UI" w:hAnsi="Segoe UI" w:cs="Segoe UI"/>
          <w:bCs/>
        </w:rPr>
        <w:lastRenderedPageBreak/>
        <w:t xml:space="preserve">przyspieszeniu w przypadku </w:t>
      </w:r>
      <w:r w:rsidR="00776E49">
        <w:rPr>
          <w:rFonts w:ascii="Segoe UI" w:hAnsi="Segoe UI" w:cs="Segoe UI"/>
          <w:bCs/>
        </w:rPr>
        <w:t>użycia</w:t>
      </w:r>
      <w:r w:rsidRPr="006703D4">
        <w:rPr>
          <w:rFonts w:ascii="Segoe UI" w:hAnsi="Segoe UI" w:cs="Segoe UI"/>
          <w:bCs/>
        </w:rPr>
        <w:t xml:space="preserve"> </w:t>
      </w:r>
      <w:r w:rsidR="00CC0DD0">
        <w:rPr>
          <w:rFonts w:ascii="Segoe UI" w:hAnsi="Segoe UI" w:cs="Segoe UI"/>
          <w:bCs/>
        </w:rPr>
        <w:t xml:space="preserve">podczas montażu </w:t>
      </w:r>
      <w:r w:rsidRPr="006703D4">
        <w:rPr>
          <w:rFonts w:ascii="Segoe UI" w:hAnsi="Segoe UI" w:cs="Segoe UI"/>
          <w:bCs/>
        </w:rPr>
        <w:t xml:space="preserve">nieodpowiednich smarów, co podkreśla znaczenie stosowania smarów </w:t>
      </w:r>
      <w:r w:rsidR="00776E49">
        <w:rPr>
          <w:rFonts w:ascii="Segoe UI" w:hAnsi="Segoe UI" w:cs="Segoe UI"/>
          <w:bCs/>
        </w:rPr>
        <w:t>niezawierających metali</w:t>
      </w:r>
      <w:r w:rsidRPr="006703D4">
        <w:rPr>
          <w:rFonts w:ascii="Segoe UI" w:hAnsi="Segoe UI" w:cs="Segoe UI"/>
          <w:bCs/>
        </w:rPr>
        <w:t>.</w:t>
      </w:r>
    </w:p>
    <w:p w14:paraId="550D0D0B" w14:textId="27523878" w:rsidR="006703D4" w:rsidRDefault="00776E49" w:rsidP="006703D4">
      <w:pPr>
        <w:ind w:right="-288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Cykliczne nagrzewanie</w:t>
      </w:r>
      <w:r w:rsidR="006703D4" w:rsidRPr="006703D4">
        <w:rPr>
          <w:rFonts w:ascii="Segoe UI" w:hAnsi="Segoe UI" w:cs="Segoe UI"/>
          <w:bCs/>
        </w:rPr>
        <w:t xml:space="preserve"> prowadz</w:t>
      </w:r>
      <w:r>
        <w:rPr>
          <w:rFonts w:ascii="Segoe UI" w:hAnsi="Segoe UI" w:cs="Segoe UI"/>
          <w:bCs/>
        </w:rPr>
        <w:t>i</w:t>
      </w:r>
      <w:r w:rsidR="006703D4" w:rsidRPr="006703D4">
        <w:rPr>
          <w:rFonts w:ascii="Segoe UI" w:hAnsi="Segoe UI" w:cs="Segoe UI"/>
          <w:bCs/>
        </w:rPr>
        <w:t xml:space="preserve"> również do rozwarstwiania się podkładek tłumiących hałas, co stopniowo zmniejsza ich skuteczność w </w:t>
      </w:r>
      <w:r>
        <w:rPr>
          <w:rFonts w:ascii="Segoe UI" w:hAnsi="Segoe UI" w:cs="Segoe UI"/>
          <w:bCs/>
        </w:rPr>
        <w:t>ograniczaniu</w:t>
      </w:r>
      <w:r w:rsidR="006703D4" w:rsidRPr="006703D4">
        <w:rPr>
          <w:rFonts w:ascii="Segoe UI" w:hAnsi="Segoe UI" w:cs="Segoe UI"/>
          <w:bCs/>
        </w:rPr>
        <w:t xml:space="preserve"> hałas</w:t>
      </w:r>
      <w:r>
        <w:rPr>
          <w:rFonts w:ascii="Segoe UI" w:hAnsi="Segoe UI" w:cs="Segoe UI"/>
          <w:bCs/>
        </w:rPr>
        <w:t>u</w:t>
      </w:r>
      <w:r w:rsidR="006703D4" w:rsidRPr="006703D4">
        <w:rPr>
          <w:rFonts w:ascii="Segoe UI" w:hAnsi="Segoe UI" w:cs="Segoe UI"/>
          <w:bCs/>
        </w:rPr>
        <w:t>, wibracj</w:t>
      </w:r>
      <w:r>
        <w:rPr>
          <w:rFonts w:ascii="Segoe UI" w:hAnsi="Segoe UI" w:cs="Segoe UI"/>
          <w:bCs/>
        </w:rPr>
        <w:t>i</w:t>
      </w:r>
      <w:r w:rsidR="006703D4" w:rsidRPr="006703D4">
        <w:rPr>
          <w:rFonts w:ascii="Segoe UI" w:hAnsi="Segoe UI" w:cs="Segoe UI"/>
          <w:bCs/>
        </w:rPr>
        <w:t xml:space="preserve"> i </w:t>
      </w:r>
      <w:r>
        <w:rPr>
          <w:rFonts w:ascii="Segoe UI" w:hAnsi="Segoe UI" w:cs="Segoe UI"/>
          <w:bCs/>
        </w:rPr>
        <w:t>uciążliwości (NVH</w:t>
      </w:r>
      <w:r w:rsidR="006703D4" w:rsidRPr="006703D4">
        <w:rPr>
          <w:rFonts w:ascii="Segoe UI" w:hAnsi="Segoe UI" w:cs="Segoe UI"/>
          <w:bCs/>
        </w:rPr>
        <w:t xml:space="preserve">). Ponieważ </w:t>
      </w:r>
      <w:r>
        <w:rPr>
          <w:rFonts w:ascii="Segoe UI" w:hAnsi="Segoe UI" w:cs="Segoe UI"/>
          <w:bCs/>
        </w:rPr>
        <w:t>elementy dodatkowe</w:t>
      </w:r>
      <w:r w:rsidR="006703D4" w:rsidRPr="006703D4">
        <w:rPr>
          <w:rFonts w:ascii="Segoe UI" w:hAnsi="Segoe UI" w:cs="Segoe UI"/>
          <w:bCs/>
        </w:rPr>
        <w:t xml:space="preserve"> </w:t>
      </w:r>
      <w:r w:rsidRPr="006703D4">
        <w:rPr>
          <w:rFonts w:ascii="Segoe UI" w:hAnsi="Segoe UI" w:cs="Segoe UI"/>
          <w:bCs/>
        </w:rPr>
        <w:t xml:space="preserve">w wyniku zużycia i zmęczenia materiału </w:t>
      </w:r>
      <w:r w:rsidR="006703D4" w:rsidRPr="006703D4">
        <w:rPr>
          <w:rFonts w:ascii="Segoe UI" w:hAnsi="Segoe UI" w:cs="Segoe UI"/>
          <w:bCs/>
        </w:rPr>
        <w:t xml:space="preserve">tracą swoją </w:t>
      </w:r>
      <w:r>
        <w:rPr>
          <w:rFonts w:ascii="Segoe UI" w:hAnsi="Segoe UI" w:cs="Segoe UI"/>
          <w:bCs/>
        </w:rPr>
        <w:t>wytrzymałość</w:t>
      </w:r>
      <w:r w:rsidR="006703D4" w:rsidRPr="006703D4">
        <w:rPr>
          <w:rFonts w:ascii="Segoe UI" w:hAnsi="Segoe UI" w:cs="Segoe UI"/>
          <w:bCs/>
        </w:rPr>
        <w:t xml:space="preserve"> mechaniczną, powodują szereg powiązanych ze sobą problemów, które wpływają na działanie całego układu hamulcowego.</w:t>
      </w:r>
    </w:p>
    <w:p w14:paraId="39E6B8D1" w14:textId="48DF6B57" w:rsidR="006703D4" w:rsidRDefault="002E5FB3" w:rsidP="00C82525">
      <w:pPr>
        <w:ind w:right="-288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Wyeksploatowane</w:t>
      </w:r>
      <w:r w:rsidRPr="002E5FB3">
        <w:rPr>
          <w:rFonts w:ascii="Segoe UI" w:hAnsi="Segoe UI" w:cs="Segoe UI"/>
          <w:bCs/>
        </w:rPr>
        <w:t xml:space="preserve"> akcesoria bezpośrednio przyczyniają się do nierównomiernego zużycia </w:t>
      </w:r>
      <w:r>
        <w:rPr>
          <w:rFonts w:ascii="Segoe UI" w:hAnsi="Segoe UI" w:cs="Segoe UI"/>
          <w:bCs/>
        </w:rPr>
        <w:br/>
      </w:r>
      <w:r w:rsidRPr="002E5FB3">
        <w:rPr>
          <w:rFonts w:ascii="Segoe UI" w:hAnsi="Segoe UI" w:cs="Segoe UI"/>
          <w:bCs/>
        </w:rPr>
        <w:t>i zmniejszenia skuteczności hamowania</w:t>
      </w:r>
      <w:r w:rsidR="006703D4" w:rsidRPr="006703D4">
        <w:rPr>
          <w:rFonts w:ascii="Segoe UI" w:hAnsi="Segoe UI" w:cs="Segoe UI"/>
          <w:bCs/>
        </w:rPr>
        <w:t xml:space="preserve">. Niewspółosiowość zwiększa ruch klocków podczas hamowania, generując niepożądane odgłosy i wibracje, a jednocześnie potencjalnie powodując uszkodzenia elementów zacisku hamulcowego. Dodatkowo </w:t>
      </w:r>
      <w:r w:rsidR="00096E4B">
        <w:rPr>
          <w:rFonts w:ascii="Segoe UI" w:hAnsi="Segoe UI" w:cs="Segoe UI"/>
          <w:bCs/>
        </w:rPr>
        <w:t>zaburza to</w:t>
      </w:r>
      <w:r w:rsidR="00096E4B" w:rsidRPr="006703D4">
        <w:rPr>
          <w:rFonts w:ascii="Segoe UI" w:hAnsi="Segoe UI" w:cs="Segoe UI"/>
          <w:bCs/>
        </w:rPr>
        <w:t xml:space="preserve"> </w:t>
      </w:r>
      <w:r w:rsidR="00096E4B">
        <w:rPr>
          <w:rFonts w:ascii="Segoe UI" w:hAnsi="Segoe UI" w:cs="Segoe UI"/>
          <w:bCs/>
        </w:rPr>
        <w:t>działanie</w:t>
      </w:r>
      <w:r w:rsidR="006703D4" w:rsidRPr="006703D4">
        <w:rPr>
          <w:rFonts w:ascii="Segoe UI" w:hAnsi="Segoe UI" w:cs="Segoe UI"/>
          <w:bCs/>
        </w:rPr>
        <w:t xml:space="preserve"> czujnika </w:t>
      </w:r>
      <w:r w:rsidR="00096E4B">
        <w:rPr>
          <w:rFonts w:ascii="Segoe UI" w:hAnsi="Segoe UI" w:cs="Segoe UI"/>
          <w:bCs/>
        </w:rPr>
        <w:t xml:space="preserve">zużycia </w:t>
      </w:r>
      <w:r w:rsidR="006703D4" w:rsidRPr="006703D4">
        <w:rPr>
          <w:rFonts w:ascii="Segoe UI" w:hAnsi="Segoe UI" w:cs="Segoe UI"/>
          <w:bCs/>
        </w:rPr>
        <w:t>hamulca, co prowadzi do braku ostrzeże</w:t>
      </w:r>
      <w:r w:rsidR="00096E4B">
        <w:rPr>
          <w:rFonts w:ascii="Segoe UI" w:hAnsi="Segoe UI" w:cs="Segoe UI"/>
          <w:bCs/>
        </w:rPr>
        <w:t xml:space="preserve">nia kierowcy za pomocą komunikatu </w:t>
      </w:r>
      <w:r w:rsidR="006703D4" w:rsidRPr="006703D4">
        <w:rPr>
          <w:rFonts w:ascii="Segoe UI" w:hAnsi="Segoe UI" w:cs="Segoe UI"/>
          <w:bCs/>
        </w:rPr>
        <w:t>na desce rozdzielczej lub sygnałów dźwiękowych o konieczności wymiany klocków. Takie awarie czujników</w:t>
      </w:r>
      <w:r w:rsidR="00096E4B">
        <w:rPr>
          <w:rFonts w:ascii="Segoe UI" w:hAnsi="Segoe UI" w:cs="Segoe UI"/>
          <w:bCs/>
        </w:rPr>
        <w:t xml:space="preserve"> i jazda </w:t>
      </w:r>
      <w:r>
        <w:rPr>
          <w:rFonts w:ascii="Segoe UI" w:hAnsi="Segoe UI" w:cs="Segoe UI"/>
          <w:bCs/>
        </w:rPr>
        <w:br/>
      </w:r>
      <w:r w:rsidR="00096E4B">
        <w:rPr>
          <w:rFonts w:ascii="Segoe UI" w:hAnsi="Segoe UI" w:cs="Segoe UI"/>
          <w:bCs/>
        </w:rPr>
        <w:t>z przesadnie zużytymi klockami hamulcowymi</w:t>
      </w:r>
      <w:r w:rsidR="006703D4" w:rsidRPr="006703D4">
        <w:rPr>
          <w:rFonts w:ascii="Segoe UI" w:hAnsi="Segoe UI" w:cs="Segoe UI"/>
          <w:bCs/>
        </w:rPr>
        <w:t xml:space="preserve"> mogą spowodować poważne uszkodzenia układu hamulcowego.</w:t>
      </w:r>
    </w:p>
    <w:p w14:paraId="1BF54F1F" w14:textId="2D89A706" w:rsidR="006703D4" w:rsidRDefault="006703D4" w:rsidP="00C82525">
      <w:pPr>
        <w:ind w:right="-288"/>
        <w:jc w:val="both"/>
        <w:rPr>
          <w:rFonts w:ascii="Segoe UI" w:hAnsi="Segoe UI" w:cs="Segoe UI"/>
          <w:bCs/>
        </w:rPr>
      </w:pPr>
      <w:r w:rsidRPr="006703D4">
        <w:rPr>
          <w:rFonts w:ascii="Segoe UI" w:hAnsi="Segoe UI" w:cs="Segoe UI"/>
          <w:bCs/>
        </w:rPr>
        <w:t>Pogorszenie stanu akcesoriów ma wpływ na mechanizmy cofania klocków</w:t>
      </w:r>
      <w:r w:rsidR="009D06B3">
        <w:rPr>
          <w:rFonts w:ascii="Segoe UI" w:hAnsi="Segoe UI" w:cs="Segoe UI"/>
          <w:bCs/>
        </w:rPr>
        <w:t xml:space="preserve"> hamulcowych</w:t>
      </w:r>
      <w:r w:rsidRPr="006703D4">
        <w:rPr>
          <w:rFonts w:ascii="Segoe UI" w:hAnsi="Segoe UI" w:cs="Segoe UI"/>
          <w:bCs/>
        </w:rPr>
        <w:t xml:space="preserve">. Uszkodzone zaciski uniemożliwiają prawidłowe odłączenie klocków </w:t>
      </w:r>
      <w:r w:rsidR="00497989">
        <w:rPr>
          <w:rFonts w:ascii="Segoe UI" w:hAnsi="Segoe UI" w:cs="Segoe UI"/>
          <w:bCs/>
        </w:rPr>
        <w:t xml:space="preserve">od tarczy </w:t>
      </w:r>
      <w:r w:rsidRPr="006703D4">
        <w:rPr>
          <w:rFonts w:ascii="Segoe UI" w:hAnsi="Segoe UI" w:cs="Segoe UI"/>
          <w:bCs/>
        </w:rPr>
        <w:t xml:space="preserve">po uruchomieniu hamulców, powodując ciągłe opory, które przyspieszają zużycie </w:t>
      </w:r>
      <w:r w:rsidR="009D06B3">
        <w:rPr>
          <w:rFonts w:ascii="Segoe UI" w:hAnsi="Segoe UI" w:cs="Segoe UI"/>
          <w:bCs/>
        </w:rPr>
        <w:t xml:space="preserve">części </w:t>
      </w:r>
      <w:r w:rsidRPr="006703D4">
        <w:rPr>
          <w:rFonts w:ascii="Segoe UI" w:hAnsi="Segoe UI" w:cs="Segoe UI"/>
          <w:bCs/>
        </w:rPr>
        <w:t>i z</w:t>
      </w:r>
      <w:r w:rsidR="009D06B3">
        <w:rPr>
          <w:rFonts w:ascii="Segoe UI" w:hAnsi="Segoe UI" w:cs="Segoe UI"/>
          <w:bCs/>
        </w:rPr>
        <w:t>więk</w:t>
      </w:r>
      <w:r w:rsidRPr="006703D4">
        <w:rPr>
          <w:rFonts w:ascii="Segoe UI" w:hAnsi="Segoe UI" w:cs="Segoe UI"/>
          <w:bCs/>
        </w:rPr>
        <w:t xml:space="preserve">szają </w:t>
      </w:r>
      <w:r w:rsidR="009D06B3">
        <w:rPr>
          <w:rFonts w:ascii="Segoe UI" w:hAnsi="Segoe UI" w:cs="Segoe UI"/>
          <w:bCs/>
        </w:rPr>
        <w:t>zużycie</w:t>
      </w:r>
      <w:r w:rsidRPr="006703D4">
        <w:rPr>
          <w:rFonts w:ascii="Segoe UI" w:hAnsi="Segoe UI" w:cs="Segoe UI"/>
          <w:bCs/>
        </w:rPr>
        <w:t xml:space="preserve"> paliwa. Zniszczone podkładki </w:t>
      </w:r>
      <w:r w:rsidR="00AB1091">
        <w:rPr>
          <w:rFonts w:ascii="Segoe UI" w:hAnsi="Segoe UI" w:cs="Segoe UI"/>
          <w:bCs/>
        </w:rPr>
        <w:t>utrudniają</w:t>
      </w:r>
      <w:r w:rsidRPr="006703D4">
        <w:rPr>
          <w:rFonts w:ascii="Segoe UI" w:hAnsi="Segoe UI" w:cs="Segoe UI"/>
          <w:bCs/>
        </w:rPr>
        <w:t xml:space="preserve"> również rozpraszanie ciepła, tworząc </w:t>
      </w:r>
      <w:r w:rsidR="00AB1091">
        <w:rPr>
          <w:rFonts w:ascii="Segoe UI" w:hAnsi="Segoe UI" w:cs="Segoe UI"/>
          <w:bCs/>
        </w:rPr>
        <w:t>gorsze</w:t>
      </w:r>
      <w:r w:rsidRPr="006703D4">
        <w:rPr>
          <w:rFonts w:ascii="Segoe UI" w:hAnsi="Segoe UI" w:cs="Segoe UI"/>
          <w:bCs/>
        </w:rPr>
        <w:t xml:space="preserve"> powierzchnie </w:t>
      </w:r>
      <w:r w:rsidR="00AB1091">
        <w:rPr>
          <w:rFonts w:ascii="Segoe UI" w:hAnsi="Segoe UI" w:cs="Segoe UI"/>
          <w:bCs/>
        </w:rPr>
        <w:t>kontaktu</w:t>
      </w:r>
      <w:r w:rsidRPr="006703D4">
        <w:rPr>
          <w:rFonts w:ascii="Segoe UI" w:hAnsi="Segoe UI" w:cs="Segoe UI"/>
          <w:bCs/>
        </w:rPr>
        <w:t xml:space="preserve"> termicznego</w:t>
      </w:r>
      <w:r w:rsidR="00AB1091">
        <w:rPr>
          <w:rFonts w:ascii="Segoe UI" w:hAnsi="Segoe UI" w:cs="Segoe UI"/>
          <w:bCs/>
        </w:rPr>
        <w:t xml:space="preserve">. To </w:t>
      </w:r>
      <w:r w:rsidRPr="006703D4">
        <w:rPr>
          <w:rFonts w:ascii="Segoe UI" w:hAnsi="Segoe UI" w:cs="Segoe UI"/>
          <w:bCs/>
        </w:rPr>
        <w:t xml:space="preserve">prowadzi do miejscowego przegrzania, które objawia się drganiami podczas hamowania. Połączenie tych czynników może zaburzyć </w:t>
      </w:r>
      <w:r w:rsidR="00AB1091">
        <w:rPr>
          <w:rFonts w:ascii="Segoe UI" w:hAnsi="Segoe UI" w:cs="Segoe UI"/>
          <w:bCs/>
        </w:rPr>
        <w:t>balans</w:t>
      </w:r>
      <w:r w:rsidRPr="006703D4">
        <w:rPr>
          <w:rFonts w:ascii="Segoe UI" w:hAnsi="Segoe UI" w:cs="Segoe UI"/>
          <w:bCs/>
        </w:rPr>
        <w:t xml:space="preserve"> hamulców na osi, ponieważ nierównomierne zużycie klocków zmienia rozkład siły hamowania i pogarsza ogólną skuteczność hamowania pojazdu.</w:t>
      </w:r>
    </w:p>
    <w:p w14:paraId="2AC0A500" w14:textId="4E670FB4" w:rsidR="00713F57" w:rsidRPr="00713F57" w:rsidRDefault="00713F57" w:rsidP="00713F57">
      <w:pPr>
        <w:ind w:right="-288"/>
        <w:jc w:val="both"/>
        <w:rPr>
          <w:rFonts w:ascii="Segoe UI" w:hAnsi="Segoe UI" w:cs="Segoe UI"/>
          <w:b/>
          <w:color w:val="595959" w:themeColor="text1" w:themeTint="A6"/>
        </w:rPr>
      </w:pPr>
      <w:r w:rsidRPr="00713F57">
        <w:rPr>
          <w:rFonts w:ascii="Segoe UI" w:hAnsi="Segoe UI" w:cs="Segoe UI"/>
          <w:b/>
          <w:color w:val="595959" w:themeColor="text1" w:themeTint="A6"/>
        </w:rPr>
        <w:t>Koszt</w:t>
      </w:r>
      <w:r w:rsidR="005A1337">
        <w:rPr>
          <w:rFonts w:ascii="Segoe UI" w:hAnsi="Segoe UI" w:cs="Segoe UI"/>
          <w:b/>
          <w:color w:val="595959" w:themeColor="text1" w:themeTint="A6"/>
        </w:rPr>
        <w:t>y,</w:t>
      </w:r>
      <w:r w:rsidRPr="00713F57">
        <w:rPr>
          <w:rFonts w:ascii="Segoe UI" w:hAnsi="Segoe UI" w:cs="Segoe UI"/>
          <w:b/>
          <w:color w:val="595959" w:themeColor="text1" w:themeTint="A6"/>
        </w:rPr>
        <w:t xml:space="preserve"> a ryzyko</w:t>
      </w:r>
    </w:p>
    <w:p w14:paraId="3B86B20A" w14:textId="0943710D" w:rsidR="00713F57" w:rsidRDefault="00713F57" w:rsidP="00116155">
      <w:pPr>
        <w:ind w:right="-288"/>
        <w:jc w:val="both"/>
        <w:rPr>
          <w:rFonts w:ascii="Segoe UI" w:hAnsi="Segoe UI" w:cs="Segoe UI"/>
          <w:bCs/>
        </w:rPr>
      </w:pPr>
      <w:r w:rsidRPr="00713F57">
        <w:rPr>
          <w:rFonts w:ascii="Segoe UI" w:hAnsi="Segoe UI" w:cs="Segoe UI"/>
          <w:bCs/>
        </w:rPr>
        <w:t xml:space="preserve">Chociaż </w:t>
      </w:r>
      <w:r w:rsidR="00002F5A">
        <w:rPr>
          <w:rFonts w:ascii="Segoe UI" w:hAnsi="Segoe UI" w:cs="Segoe UI"/>
          <w:bCs/>
        </w:rPr>
        <w:t xml:space="preserve">opisywane </w:t>
      </w:r>
      <w:r w:rsidRPr="00713F57">
        <w:rPr>
          <w:rFonts w:ascii="Segoe UI" w:hAnsi="Segoe UI" w:cs="Segoe UI"/>
          <w:bCs/>
        </w:rPr>
        <w:t xml:space="preserve">akcesoria są stosunkowo niedrogimi </w:t>
      </w:r>
      <w:r w:rsidR="00002F5A">
        <w:rPr>
          <w:rFonts w:ascii="Segoe UI" w:hAnsi="Segoe UI" w:cs="Segoe UI"/>
          <w:bCs/>
        </w:rPr>
        <w:t>elementami</w:t>
      </w:r>
      <w:r w:rsidRPr="00713F57">
        <w:rPr>
          <w:rFonts w:ascii="Segoe UI" w:hAnsi="Segoe UI" w:cs="Segoe UI"/>
          <w:bCs/>
        </w:rPr>
        <w:t>, warsztaty często wahają się</w:t>
      </w:r>
      <w:r w:rsidR="00F170EF">
        <w:rPr>
          <w:rFonts w:ascii="Segoe UI" w:hAnsi="Segoe UI" w:cs="Segoe UI"/>
          <w:bCs/>
        </w:rPr>
        <w:t xml:space="preserve">, czy obciążyć dodatkowymi kosztami klientów, którzy już wydają pieniądze na nowe części hamulcowe. Ważną rolę odgrywa wiedza mechaników. </w:t>
      </w:r>
      <w:r w:rsidR="00116155">
        <w:rPr>
          <w:rFonts w:ascii="Segoe UI" w:hAnsi="Segoe UI" w:cs="Segoe UI"/>
          <w:bCs/>
        </w:rPr>
        <w:t>Podkładki, blaszki czy sprężynki</w:t>
      </w:r>
      <w:r w:rsidR="00116155" w:rsidRPr="00713F57">
        <w:rPr>
          <w:rFonts w:ascii="Segoe UI" w:hAnsi="Segoe UI" w:cs="Segoe UI"/>
          <w:bCs/>
        </w:rPr>
        <w:t xml:space="preserve"> odgrywają </w:t>
      </w:r>
      <w:r w:rsidR="00116155">
        <w:rPr>
          <w:rFonts w:ascii="Segoe UI" w:hAnsi="Segoe UI" w:cs="Segoe UI"/>
          <w:bCs/>
        </w:rPr>
        <w:t>ważną</w:t>
      </w:r>
      <w:r w:rsidR="00116155" w:rsidRPr="00713F57">
        <w:rPr>
          <w:rFonts w:ascii="Segoe UI" w:hAnsi="Segoe UI" w:cs="Segoe UI"/>
          <w:bCs/>
        </w:rPr>
        <w:t xml:space="preserve"> rolę w </w:t>
      </w:r>
      <w:r w:rsidR="00116155">
        <w:rPr>
          <w:rFonts w:ascii="Segoe UI" w:hAnsi="Segoe UI" w:cs="Segoe UI"/>
          <w:bCs/>
        </w:rPr>
        <w:t>prawidłowym działaniu</w:t>
      </w:r>
      <w:r w:rsidR="00116155" w:rsidRPr="00713F57">
        <w:rPr>
          <w:rFonts w:ascii="Segoe UI" w:hAnsi="Segoe UI" w:cs="Segoe UI"/>
          <w:bCs/>
        </w:rPr>
        <w:t xml:space="preserve"> układów hamulcowych. </w:t>
      </w:r>
      <w:r w:rsidR="00F170EF">
        <w:rPr>
          <w:rFonts w:ascii="Segoe UI" w:hAnsi="Segoe UI" w:cs="Segoe UI"/>
          <w:bCs/>
        </w:rPr>
        <w:t xml:space="preserve">Zrozumienie, że mniej istotne części z czasem również się zużywają, mają wpływ na skuteczność oraz komfort hamowania i wymagają regularniej wymiany, przekłada się na łatwiejsze uzasadnienie dodatkowego wydatku. </w:t>
      </w:r>
      <w:r w:rsidR="00116155">
        <w:rPr>
          <w:rFonts w:ascii="Segoe UI" w:hAnsi="Segoe UI" w:cs="Segoe UI"/>
          <w:bCs/>
        </w:rPr>
        <w:t xml:space="preserve">Pominięcie wymiany tych elementów powoduje </w:t>
      </w:r>
      <w:r w:rsidR="00116155" w:rsidRPr="00713F57">
        <w:rPr>
          <w:rFonts w:ascii="Segoe UI" w:hAnsi="Segoe UI" w:cs="Segoe UI"/>
          <w:bCs/>
        </w:rPr>
        <w:t xml:space="preserve">przyspieszone zużycie klocków hamulcowych, zwiększoną częstotliwość </w:t>
      </w:r>
      <w:r w:rsidR="00116155">
        <w:rPr>
          <w:rFonts w:ascii="Segoe UI" w:hAnsi="Segoe UI" w:cs="Segoe UI"/>
          <w:bCs/>
        </w:rPr>
        <w:t>serwisu</w:t>
      </w:r>
      <w:r w:rsidR="00116155" w:rsidRPr="00713F57">
        <w:rPr>
          <w:rFonts w:ascii="Segoe UI" w:hAnsi="Segoe UI" w:cs="Segoe UI"/>
          <w:bCs/>
        </w:rPr>
        <w:t xml:space="preserve"> oraz uszkodzenia zacisków i tarcz, co prowadzi do napraw</w:t>
      </w:r>
      <w:r w:rsidR="00116155">
        <w:rPr>
          <w:rFonts w:ascii="Segoe UI" w:hAnsi="Segoe UI" w:cs="Segoe UI"/>
          <w:bCs/>
        </w:rPr>
        <w:t>, których wartość</w:t>
      </w:r>
      <w:r w:rsidR="00116155" w:rsidRPr="00713F57">
        <w:rPr>
          <w:rFonts w:ascii="Segoe UI" w:hAnsi="Segoe UI" w:cs="Segoe UI"/>
          <w:bCs/>
        </w:rPr>
        <w:t xml:space="preserve"> znacznie przekracza</w:t>
      </w:r>
      <w:r w:rsidR="00116155">
        <w:rPr>
          <w:rFonts w:ascii="Segoe UI" w:hAnsi="Segoe UI" w:cs="Segoe UI"/>
          <w:bCs/>
        </w:rPr>
        <w:t xml:space="preserve"> zaoszczędzone</w:t>
      </w:r>
      <w:r w:rsidR="00116155" w:rsidRPr="00713F57">
        <w:rPr>
          <w:rFonts w:ascii="Segoe UI" w:hAnsi="Segoe UI" w:cs="Segoe UI"/>
          <w:bCs/>
        </w:rPr>
        <w:t xml:space="preserve"> koszty akcesoriów.</w:t>
      </w:r>
      <w:r w:rsidR="00116155">
        <w:rPr>
          <w:rFonts w:ascii="Segoe UI" w:hAnsi="Segoe UI" w:cs="Segoe UI"/>
          <w:bCs/>
        </w:rPr>
        <w:t xml:space="preserve"> </w:t>
      </w:r>
    </w:p>
    <w:p w14:paraId="23977C95" w14:textId="5D549C3D" w:rsidR="00116155" w:rsidRPr="00713F57" w:rsidRDefault="00116155" w:rsidP="00116155">
      <w:pPr>
        <w:ind w:right="-288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Sięgnięcie po nie podczas montażu nowych klocków i tarcz hamulcowych jest opłacalnym posunięciem, które </w:t>
      </w:r>
      <w:r w:rsidRPr="00713F57">
        <w:rPr>
          <w:rFonts w:ascii="Segoe UI" w:hAnsi="Segoe UI" w:cs="Segoe UI"/>
          <w:bCs/>
        </w:rPr>
        <w:t>zwiększa niezawodność</w:t>
      </w:r>
      <w:r>
        <w:rPr>
          <w:rFonts w:ascii="Segoe UI" w:hAnsi="Segoe UI" w:cs="Segoe UI"/>
          <w:bCs/>
        </w:rPr>
        <w:t xml:space="preserve"> oraz</w:t>
      </w:r>
      <w:r w:rsidRPr="00713F57">
        <w:rPr>
          <w:rFonts w:ascii="Segoe UI" w:hAnsi="Segoe UI" w:cs="Segoe UI"/>
          <w:bCs/>
        </w:rPr>
        <w:t xml:space="preserve"> chroni zarówno pojazd, jak i kierowcę. </w:t>
      </w:r>
      <w:r>
        <w:rPr>
          <w:rFonts w:ascii="Segoe UI" w:hAnsi="Segoe UI" w:cs="Segoe UI"/>
          <w:bCs/>
        </w:rPr>
        <w:t>Idealnie byłoby, gdyby wymiana dodatkowych elementów traktowana była jako standardowa część procedury wymiany hamulców, a nie opcja.</w:t>
      </w:r>
    </w:p>
    <w:p w14:paraId="506EC674" w14:textId="456A7309" w:rsidR="00713F57" w:rsidRDefault="00116155" w:rsidP="00116155">
      <w:pPr>
        <w:ind w:right="-288"/>
        <w:jc w:val="both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lastRenderedPageBreak/>
        <w:t>Warto dodać, że j</w:t>
      </w:r>
      <w:r w:rsidR="005A1337">
        <w:rPr>
          <w:rFonts w:ascii="Segoe UI" w:hAnsi="Segoe UI" w:cs="Segoe UI"/>
          <w:bCs/>
        </w:rPr>
        <w:t xml:space="preserve">eśli istnieją akcesoria do produktu </w:t>
      </w:r>
      <w:r>
        <w:rPr>
          <w:rFonts w:ascii="Segoe UI" w:hAnsi="Segoe UI" w:cs="Segoe UI"/>
          <w:bCs/>
        </w:rPr>
        <w:t>na fabryczny montaż (OE), k</w:t>
      </w:r>
      <w:r w:rsidR="00713F57" w:rsidRPr="00713F57">
        <w:rPr>
          <w:rFonts w:ascii="Segoe UI" w:hAnsi="Segoe UI" w:cs="Segoe UI"/>
          <w:bCs/>
        </w:rPr>
        <w:t>lock</w:t>
      </w:r>
      <w:r w:rsidR="005A1337">
        <w:rPr>
          <w:rFonts w:ascii="Segoe UI" w:hAnsi="Segoe UI" w:cs="Segoe UI"/>
          <w:bCs/>
        </w:rPr>
        <w:t>i</w:t>
      </w:r>
      <w:r w:rsidR="00713F57" w:rsidRPr="00713F57">
        <w:rPr>
          <w:rFonts w:ascii="Segoe UI" w:hAnsi="Segoe UI" w:cs="Segoe UI"/>
          <w:bCs/>
        </w:rPr>
        <w:t xml:space="preserve"> hamulcow</w:t>
      </w:r>
      <w:r w:rsidR="005A1337">
        <w:rPr>
          <w:rFonts w:ascii="Segoe UI" w:hAnsi="Segoe UI" w:cs="Segoe UI"/>
          <w:bCs/>
        </w:rPr>
        <w:t>e</w:t>
      </w:r>
      <w:r w:rsidR="00713F57" w:rsidRPr="00713F57">
        <w:rPr>
          <w:rFonts w:ascii="Segoe UI" w:hAnsi="Segoe UI" w:cs="Segoe UI"/>
          <w:bCs/>
        </w:rPr>
        <w:t xml:space="preserve"> </w:t>
      </w:r>
      <w:r w:rsidR="00BB5AB0">
        <w:rPr>
          <w:rFonts w:ascii="Segoe UI" w:hAnsi="Segoe UI" w:cs="Segoe UI"/>
          <w:bCs/>
        </w:rPr>
        <w:t>Bendix</w:t>
      </w:r>
      <w:r w:rsidR="005A1337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 xml:space="preserve">na niezależny rynek części zamiennych </w:t>
      </w:r>
      <w:r w:rsidR="005A1337">
        <w:rPr>
          <w:rFonts w:ascii="Segoe UI" w:hAnsi="Segoe UI" w:cs="Segoe UI"/>
          <w:bCs/>
        </w:rPr>
        <w:t>są dostarczane wraz z niezbędnymi akcesoriami montażowymi. Nie wszyscy producenci części stosują takie rozwiązanie</w:t>
      </w:r>
      <w:r>
        <w:rPr>
          <w:rFonts w:ascii="Segoe UI" w:hAnsi="Segoe UI" w:cs="Segoe UI"/>
          <w:bCs/>
        </w:rPr>
        <w:t xml:space="preserve">. </w:t>
      </w:r>
    </w:p>
    <w:p w14:paraId="264E5D55" w14:textId="77777777" w:rsidR="005F7C0C" w:rsidRPr="000763B4" w:rsidRDefault="005F7C0C" w:rsidP="00C82525">
      <w:pPr>
        <w:ind w:right="-288"/>
        <w:jc w:val="both"/>
        <w:rPr>
          <w:rFonts w:ascii="Segoe UI" w:hAnsi="Segoe UI" w:cs="Segoe UI"/>
          <w:bCs/>
        </w:rPr>
      </w:pPr>
    </w:p>
    <w:p w14:paraId="345D2290" w14:textId="77777777" w:rsidR="005F7C0C" w:rsidRPr="000763B4" w:rsidRDefault="005F7C0C" w:rsidP="005F7C0C">
      <w:pPr>
        <w:jc w:val="both"/>
        <w:rPr>
          <w:b/>
          <w:bCs/>
          <w:color w:val="595959" w:themeColor="text1" w:themeTint="A6"/>
        </w:rPr>
      </w:pPr>
      <w:r w:rsidRPr="00D923C8">
        <w:rPr>
          <w:b/>
          <w:bCs/>
          <w:color w:val="595959" w:themeColor="text1" w:themeTint="A6"/>
        </w:rPr>
        <w:t>Materiały zdjęciowe:</w:t>
      </w:r>
      <w:r w:rsidRPr="000763B4">
        <w:rPr>
          <w:b/>
          <w:bCs/>
          <w:color w:val="595959" w:themeColor="text1" w:themeTint="A6"/>
        </w:rPr>
        <w:t xml:space="preserve"> </w:t>
      </w:r>
    </w:p>
    <w:p w14:paraId="7403B0C5" w14:textId="77777777" w:rsidR="005F7C0C" w:rsidRPr="000763B4" w:rsidRDefault="005F7C0C" w:rsidP="005F7C0C">
      <w:pPr>
        <w:jc w:val="both"/>
      </w:pPr>
      <w:r w:rsidRPr="000763B4">
        <w:rPr>
          <w:noProof/>
        </w:rPr>
        <w:drawing>
          <wp:inline distT="0" distB="0" distL="0" distR="0" wp14:anchorId="65D8C031" wp14:editId="7E043F81">
            <wp:extent cx="1200590" cy="1800000"/>
            <wp:effectExtent l="190500" t="190500" r="190500" b="181610"/>
            <wp:docPr id="20089319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931941" name="Grafi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59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CA17A30" w14:textId="754484FC" w:rsidR="005F7C0C" w:rsidRPr="000763B4" w:rsidRDefault="00A27514" w:rsidP="005F7C0C">
      <w:pPr>
        <w:jc w:val="both"/>
      </w:pPr>
      <w:r w:rsidRPr="00A27514">
        <w:rPr>
          <w:b/>
          <w:bCs/>
        </w:rPr>
        <w:t>Bendix_</w:t>
      </w:r>
      <w:r>
        <w:rPr>
          <w:b/>
          <w:bCs/>
        </w:rPr>
        <w:t>wymiana</w:t>
      </w:r>
      <w:r w:rsidRPr="00A27514">
        <w:rPr>
          <w:b/>
          <w:bCs/>
        </w:rPr>
        <w:t>_klockow_hamulcowych</w:t>
      </w:r>
      <w:r w:rsidR="005F7C0C" w:rsidRPr="000763B4">
        <w:rPr>
          <w:b/>
          <w:bCs/>
        </w:rPr>
        <w:t>.jpg:</w:t>
      </w:r>
      <w:r w:rsidR="005F7C0C" w:rsidRPr="000763B4">
        <w:t xml:space="preserve"> </w:t>
      </w:r>
      <w:r w:rsidR="00D07398">
        <w:rPr>
          <w:rFonts w:ascii="Segoe UI" w:hAnsi="Segoe UI" w:cs="Segoe UI"/>
          <w:bCs/>
        </w:rPr>
        <w:t xml:space="preserve">Wymiana akcesoriów podczas montażu nowych klocków i tarcz hamulcowych </w:t>
      </w:r>
      <w:r w:rsidR="00D07398" w:rsidRPr="00713F57">
        <w:rPr>
          <w:rFonts w:ascii="Segoe UI" w:hAnsi="Segoe UI" w:cs="Segoe UI"/>
          <w:bCs/>
        </w:rPr>
        <w:t>zwiększa niezawodność</w:t>
      </w:r>
      <w:r w:rsidR="00D07398">
        <w:rPr>
          <w:rFonts w:ascii="Segoe UI" w:hAnsi="Segoe UI" w:cs="Segoe UI"/>
          <w:bCs/>
        </w:rPr>
        <w:t xml:space="preserve"> działania hamulców oraz</w:t>
      </w:r>
      <w:r w:rsidR="00D07398" w:rsidRPr="00713F57">
        <w:rPr>
          <w:rFonts w:ascii="Segoe UI" w:hAnsi="Segoe UI" w:cs="Segoe UI"/>
          <w:bCs/>
        </w:rPr>
        <w:t xml:space="preserve"> chroni zarówno pojazd, jak i kierowcę</w:t>
      </w:r>
      <w:r w:rsidR="00122418" w:rsidRPr="000763B4">
        <w:t>.</w:t>
      </w:r>
    </w:p>
    <w:p w14:paraId="69D970C1" w14:textId="77777777" w:rsidR="005F7C0C" w:rsidRPr="000763B4" w:rsidRDefault="005F7C0C" w:rsidP="005F7C0C">
      <w:pPr>
        <w:jc w:val="both"/>
      </w:pPr>
      <w:r w:rsidRPr="000763B4">
        <w:rPr>
          <w:noProof/>
        </w:rPr>
        <w:drawing>
          <wp:inline distT="0" distB="0" distL="0" distR="0" wp14:anchorId="2F0BC29A" wp14:editId="1602A1C2">
            <wp:extent cx="1800000" cy="1200588"/>
            <wp:effectExtent l="190500" t="190500" r="181610" b="190500"/>
            <wp:docPr id="20988608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60860" name="Grafi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005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22F1E7C" w14:textId="14B18298" w:rsidR="00D07398" w:rsidRDefault="00A27514" w:rsidP="000763B4">
      <w:pPr>
        <w:rPr>
          <w:rFonts w:ascii="Segoe UI" w:hAnsi="Segoe UI" w:cs="Segoe UI"/>
          <w:bCs/>
        </w:rPr>
      </w:pPr>
      <w:r w:rsidRPr="00A27514">
        <w:rPr>
          <w:b/>
          <w:bCs/>
        </w:rPr>
        <w:t>Bendix_montaz_podkladek</w:t>
      </w:r>
      <w:r w:rsidR="005F7C0C" w:rsidRPr="000763B4">
        <w:rPr>
          <w:b/>
          <w:bCs/>
        </w:rPr>
        <w:t>.</w:t>
      </w:r>
      <w:r>
        <w:rPr>
          <w:b/>
          <w:bCs/>
        </w:rPr>
        <w:t>j</w:t>
      </w:r>
      <w:r w:rsidR="005F7C0C" w:rsidRPr="000763B4">
        <w:rPr>
          <w:b/>
          <w:bCs/>
        </w:rPr>
        <w:t>pg:</w:t>
      </w:r>
      <w:r w:rsidR="005F7C0C" w:rsidRPr="000763B4">
        <w:t xml:space="preserve"> </w:t>
      </w:r>
      <w:r w:rsidR="00D07398">
        <w:rPr>
          <w:rFonts w:ascii="Segoe UI" w:hAnsi="Segoe UI" w:cs="Segoe UI"/>
          <w:bCs/>
        </w:rPr>
        <w:t>Wyeksploatowane</w:t>
      </w:r>
      <w:r w:rsidR="00D07398" w:rsidRPr="002E5FB3">
        <w:rPr>
          <w:rFonts w:ascii="Segoe UI" w:hAnsi="Segoe UI" w:cs="Segoe UI"/>
          <w:bCs/>
        </w:rPr>
        <w:t xml:space="preserve"> akcesoria bezpośrednio przyczyniają się do nierównomiernego zużycia i zmniejszenia skuteczności hamowania</w:t>
      </w:r>
      <w:r w:rsidR="00D07398" w:rsidRPr="006703D4">
        <w:rPr>
          <w:rFonts w:ascii="Segoe UI" w:hAnsi="Segoe UI" w:cs="Segoe UI"/>
          <w:bCs/>
        </w:rPr>
        <w:t>.</w:t>
      </w:r>
    </w:p>
    <w:p w14:paraId="4F8910D9" w14:textId="6CB4E12B" w:rsidR="00122418" w:rsidRPr="000763B4" w:rsidRDefault="000763B4" w:rsidP="000763B4">
      <w:r w:rsidRPr="000763B4">
        <w:t>.</w:t>
      </w:r>
      <w:r w:rsidR="00122418" w:rsidRPr="000763B4">
        <w:rPr>
          <w:noProof/>
        </w:rPr>
        <w:drawing>
          <wp:inline distT="0" distB="0" distL="0" distR="0" wp14:anchorId="4D7B8632" wp14:editId="719FAED2">
            <wp:extent cx="1832573" cy="1031127"/>
            <wp:effectExtent l="190500" t="190500" r="187325" b="188595"/>
            <wp:docPr id="185410564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105642" name="Grafik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573" cy="10311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85845D3" w14:textId="736E3B38" w:rsidR="00122418" w:rsidRPr="00D07398" w:rsidRDefault="00A27514" w:rsidP="00D07398">
      <w:pPr>
        <w:ind w:right="-288"/>
        <w:jc w:val="both"/>
        <w:rPr>
          <w:rFonts w:ascii="Segoe UI" w:hAnsi="Segoe UI" w:cs="Segoe UI"/>
          <w:bCs/>
        </w:rPr>
      </w:pPr>
      <w:r w:rsidRPr="00A27514">
        <w:rPr>
          <w:b/>
          <w:bCs/>
        </w:rPr>
        <w:lastRenderedPageBreak/>
        <w:t>Podkladki_i_akcesoria_Bendix</w:t>
      </w:r>
      <w:r w:rsidR="00122418" w:rsidRPr="000763B4">
        <w:rPr>
          <w:b/>
          <w:bCs/>
        </w:rPr>
        <w:t>.jpg:</w:t>
      </w:r>
      <w:r w:rsidR="00122418" w:rsidRPr="000763B4">
        <w:t xml:space="preserve"> </w:t>
      </w:r>
      <w:r w:rsidR="00D07398">
        <w:rPr>
          <w:rFonts w:ascii="Segoe UI" w:hAnsi="Segoe UI" w:cs="Segoe UI"/>
          <w:bCs/>
        </w:rPr>
        <w:t>Z</w:t>
      </w:r>
      <w:r w:rsidR="00D07398" w:rsidRPr="006703D4">
        <w:rPr>
          <w:rFonts w:ascii="Segoe UI" w:hAnsi="Segoe UI" w:cs="Segoe UI"/>
          <w:bCs/>
        </w:rPr>
        <w:t xml:space="preserve">aniedbanie elementów takich jak </w:t>
      </w:r>
      <w:r w:rsidR="00D07398">
        <w:rPr>
          <w:rFonts w:ascii="Segoe UI" w:hAnsi="Segoe UI" w:cs="Segoe UI"/>
          <w:bCs/>
        </w:rPr>
        <w:t>blaszki</w:t>
      </w:r>
      <w:r w:rsidR="00D07398" w:rsidRPr="006703D4">
        <w:rPr>
          <w:rFonts w:ascii="Segoe UI" w:hAnsi="Segoe UI" w:cs="Segoe UI"/>
          <w:bCs/>
        </w:rPr>
        <w:t>, podkładki, czujniki</w:t>
      </w:r>
      <w:r w:rsidR="00D07398">
        <w:rPr>
          <w:rFonts w:ascii="Segoe UI" w:hAnsi="Segoe UI" w:cs="Segoe UI"/>
          <w:bCs/>
        </w:rPr>
        <w:t xml:space="preserve"> </w:t>
      </w:r>
      <w:r w:rsidR="00D923C8">
        <w:rPr>
          <w:rFonts w:ascii="Segoe UI" w:hAnsi="Segoe UI" w:cs="Segoe UI"/>
          <w:bCs/>
        </w:rPr>
        <w:br/>
      </w:r>
      <w:r w:rsidR="00D07398">
        <w:rPr>
          <w:rFonts w:ascii="Segoe UI" w:hAnsi="Segoe UI" w:cs="Segoe UI"/>
          <w:bCs/>
        </w:rPr>
        <w:t xml:space="preserve">i mocowania </w:t>
      </w:r>
      <w:r w:rsidR="00D07398" w:rsidRPr="006703D4">
        <w:rPr>
          <w:rFonts w:ascii="Segoe UI" w:hAnsi="Segoe UI" w:cs="Segoe UI"/>
          <w:bCs/>
        </w:rPr>
        <w:t>może pogorszyć skuteczność hamowania, zwiększyć zużycie i doprowadzić do przedwczesnej awarii układu</w:t>
      </w:r>
      <w:r w:rsidR="00D07398">
        <w:rPr>
          <w:rFonts w:ascii="Segoe UI" w:hAnsi="Segoe UI" w:cs="Segoe UI"/>
          <w:bCs/>
        </w:rPr>
        <w:t xml:space="preserve"> hamulcowego</w:t>
      </w:r>
      <w:r w:rsidR="00D07398" w:rsidRPr="006703D4">
        <w:rPr>
          <w:rFonts w:ascii="Segoe UI" w:hAnsi="Segoe UI" w:cs="Segoe UI"/>
          <w:bCs/>
        </w:rPr>
        <w:t>.</w:t>
      </w:r>
    </w:p>
    <w:p w14:paraId="773D539C" w14:textId="77777777" w:rsidR="00122418" w:rsidRPr="000763B4" w:rsidRDefault="00122418" w:rsidP="00122418">
      <w:pPr>
        <w:jc w:val="both"/>
      </w:pPr>
      <w:r w:rsidRPr="000763B4">
        <w:rPr>
          <w:noProof/>
        </w:rPr>
        <w:drawing>
          <wp:inline distT="0" distB="0" distL="0" distR="0" wp14:anchorId="319C3C55" wp14:editId="7DB7074A">
            <wp:extent cx="1832573" cy="1138467"/>
            <wp:effectExtent l="0" t="19050" r="53975" b="43180"/>
            <wp:docPr id="13237923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792310" name="Grafik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573" cy="11384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6BD9225" w14:textId="171A9FB9" w:rsidR="00122418" w:rsidRPr="000763B4" w:rsidRDefault="00A27514" w:rsidP="00122418">
      <w:pPr>
        <w:jc w:val="both"/>
      </w:pPr>
      <w:r w:rsidRPr="00A27514">
        <w:rPr>
          <w:b/>
          <w:bCs/>
        </w:rPr>
        <w:t>Klocki_hamulcowe_Bendix</w:t>
      </w:r>
      <w:r w:rsidR="00122418" w:rsidRPr="000763B4">
        <w:rPr>
          <w:b/>
          <w:bCs/>
        </w:rPr>
        <w:t>.p</w:t>
      </w:r>
      <w:r w:rsidR="00E17DF4" w:rsidRPr="000763B4">
        <w:rPr>
          <w:b/>
          <w:bCs/>
        </w:rPr>
        <w:t>n</w:t>
      </w:r>
      <w:r w:rsidR="00122418" w:rsidRPr="000763B4">
        <w:rPr>
          <w:b/>
          <w:bCs/>
        </w:rPr>
        <w:t>g:</w:t>
      </w:r>
      <w:r w:rsidR="00122418" w:rsidRPr="000763B4">
        <w:t xml:space="preserve"> </w:t>
      </w:r>
      <w:r w:rsidR="00D923C8">
        <w:rPr>
          <w:rFonts w:ascii="Segoe UI" w:hAnsi="Segoe UI" w:cs="Segoe UI"/>
          <w:bCs/>
        </w:rPr>
        <w:t>K</w:t>
      </w:r>
      <w:r w:rsidR="00D923C8" w:rsidRPr="00713F57">
        <w:rPr>
          <w:rFonts w:ascii="Segoe UI" w:hAnsi="Segoe UI" w:cs="Segoe UI"/>
          <w:bCs/>
        </w:rPr>
        <w:t>lock</w:t>
      </w:r>
      <w:r w:rsidR="00D923C8">
        <w:rPr>
          <w:rFonts w:ascii="Segoe UI" w:hAnsi="Segoe UI" w:cs="Segoe UI"/>
          <w:bCs/>
        </w:rPr>
        <w:t>i</w:t>
      </w:r>
      <w:r w:rsidR="00D923C8" w:rsidRPr="00713F57">
        <w:rPr>
          <w:rFonts w:ascii="Segoe UI" w:hAnsi="Segoe UI" w:cs="Segoe UI"/>
          <w:bCs/>
        </w:rPr>
        <w:t xml:space="preserve"> hamulcow</w:t>
      </w:r>
      <w:r w:rsidR="00D923C8">
        <w:rPr>
          <w:rFonts w:ascii="Segoe UI" w:hAnsi="Segoe UI" w:cs="Segoe UI"/>
          <w:bCs/>
        </w:rPr>
        <w:t>e</w:t>
      </w:r>
      <w:r w:rsidR="00D923C8" w:rsidRPr="00713F57">
        <w:rPr>
          <w:rFonts w:ascii="Segoe UI" w:hAnsi="Segoe UI" w:cs="Segoe UI"/>
          <w:bCs/>
        </w:rPr>
        <w:t xml:space="preserve"> </w:t>
      </w:r>
      <w:r w:rsidR="00D923C8">
        <w:rPr>
          <w:rFonts w:ascii="Segoe UI" w:hAnsi="Segoe UI" w:cs="Segoe UI"/>
          <w:bCs/>
        </w:rPr>
        <w:t>Bendix przeznaczone na niezależny rynek części zamiennych są dostarczane wraz z niezbędnymi akcesoriami montażowymi.</w:t>
      </w:r>
    </w:p>
    <w:p w14:paraId="5F9AC51F" w14:textId="77777777" w:rsidR="00122418" w:rsidRPr="000763B4" w:rsidRDefault="00122418" w:rsidP="005F7C0C">
      <w:pPr>
        <w:jc w:val="both"/>
      </w:pPr>
    </w:p>
    <w:p w14:paraId="0BF4408D" w14:textId="77777777" w:rsidR="005F7C0C" w:rsidRPr="000763B4" w:rsidRDefault="005F7C0C" w:rsidP="00C82525">
      <w:pPr>
        <w:ind w:right="-288"/>
        <w:jc w:val="both"/>
        <w:rPr>
          <w:rFonts w:ascii="Segoe UI" w:hAnsi="Segoe UI" w:cs="Segoe UI"/>
          <w:bCs/>
        </w:rPr>
      </w:pPr>
    </w:p>
    <w:p w14:paraId="6E4AD374" w14:textId="479EEC7F" w:rsidR="00CF15CA" w:rsidRPr="000763B4" w:rsidRDefault="00CF15CA" w:rsidP="00EB6A28">
      <w:pPr>
        <w:rPr>
          <w:rFonts w:ascii="Segoe UI" w:hAnsi="Segoe UI" w:cs="Segoe UI"/>
        </w:rPr>
      </w:pPr>
    </w:p>
    <w:p w14:paraId="2D09FB77" w14:textId="4A1BE139" w:rsidR="00CF15CA" w:rsidRPr="000763B4" w:rsidRDefault="00144E69" w:rsidP="00CF15CA">
      <w:pPr>
        <w:rPr>
          <w:rStyle w:val="Pogrubienie"/>
        </w:rPr>
      </w:pPr>
      <w:r w:rsidRPr="000763B4">
        <w:rPr>
          <w:rStyle w:val="Pogrubienie"/>
        </w:rPr>
        <w:t>Informacje o</w:t>
      </w:r>
      <w:r w:rsidR="00CF15CA" w:rsidRPr="000763B4">
        <w:rPr>
          <w:rStyle w:val="Pogrubienie"/>
        </w:rPr>
        <w:t xml:space="preserve"> TMD Friction</w:t>
      </w:r>
    </w:p>
    <w:p w14:paraId="44385897" w14:textId="6F9DB495" w:rsidR="00144E69" w:rsidRPr="000763B4" w:rsidRDefault="00144E69" w:rsidP="00600FDC">
      <w:pPr>
        <w:jc w:val="both"/>
        <w:rPr>
          <w:rFonts w:ascii="Segoe UI" w:hAnsi="Segoe UI" w:cs="Segoe UI"/>
        </w:rPr>
      </w:pPr>
      <w:r w:rsidRPr="000763B4">
        <w:rPr>
          <w:rFonts w:ascii="Segoe UI" w:hAnsi="Segoe UI" w:cs="Segoe UI"/>
        </w:rPr>
        <w:t xml:space="preserve">TMD Friction jest wiodącym światowym dostawcą wysokiej jakości rozwiązań ciernych dla branży motoryzacyjnej. Firma opracowuje i produkuje klocki i tarcze hamulcowe oraz okładziny hamulców bębnowych do samochodów osobowych i pojazdów użytkowych. </w:t>
      </w:r>
      <w:r w:rsidR="00684414" w:rsidRPr="000763B4">
        <w:rPr>
          <w:rFonts w:ascii="Segoe UI" w:hAnsi="Segoe UI" w:cs="Segoe UI"/>
        </w:rPr>
        <w:t>Firma TMD Friction już od 1878 roku jest zaangażowana w wyzwania związane z bezpieczeństwem na drodze</w:t>
      </w:r>
      <w:r w:rsidRPr="000763B4">
        <w:rPr>
          <w:rFonts w:ascii="Segoe UI" w:hAnsi="Segoe UI" w:cs="Segoe UI"/>
        </w:rPr>
        <w:t>, stając się godnym zaufania liderem w dziedzinie technologii ciernych.</w:t>
      </w:r>
    </w:p>
    <w:p w14:paraId="20CCF7C5" w14:textId="229E16F9" w:rsidR="005F76F2" w:rsidRPr="000763B4" w:rsidRDefault="005F76F2" w:rsidP="00600FDC">
      <w:pPr>
        <w:jc w:val="both"/>
        <w:rPr>
          <w:rFonts w:ascii="Segoe UI" w:hAnsi="Segoe UI" w:cs="Segoe UI"/>
        </w:rPr>
      </w:pPr>
      <w:r w:rsidRPr="000763B4">
        <w:rPr>
          <w:color w:val="151616"/>
        </w:rPr>
        <w:t xml:space="preserve">TMD Friction dostarcza producentom pojazdów najwyższej jakości produkty oryginalnego wyposażenia (OE), a </w:t>
      </w:r>
      <w:r w:rsidR="00600FDC" w:rsidRPr="000763B4">
        <w:rPr>
          <w:color w:val="151616"/>
        </w:rPr>
        <w:t>także</w:t>
      </w:r>
      <w:r w:rsidRPr="000763B4">
        <w:rPr>
          <w:color w:val="151616"/>
        </w:rPr>
        <w:t xml:space="preserve"> zaopatruje niezależny rynek części zamiennych (IAM) w artykuły renomowanych marek Textar, Mintex, Don, Pagid, Cobreq i Bendix. Portfolio obejmuje również wysokowydajne produkty </w:t>
      </w:r>
      <w:r w:rsidR="0019680D" w:rsidRPr="000763B4">
        <w:rPr>
          <w:color w:val="151616"/>
        </w:rPr>
        <w:t xml:space="preserve"> </w:t>
      </w:r>
      <w:r w:rsidRPr="000763B4">
        <w:rPr>
          <w:color w:val="151616"/>
        </w:rPr>
        <w:t xml:space="preserve"> marek Pagid Racing i Mintex Racing, powstałe w oparciu </w:t>
      </w:r>
      <w:r w:rsidR="00600FDC" w:rsidRPr="000763B4">
        <w:rPr>
          <w:color w:val="151616"/>
        </w:rPr>
        <w:br/>
      </w:r>
      <w:r w:rsidRPr="000763B4">
        <w:rPr>
          <w:color w:val="151616"/>
        </w:rPr>
        <w:t>o ponad stuletnie doświadczenie w sportach motorowych</w:t>
      </w:r>
      <w:r w:rsidR="00B71925" w:rsidRPr="000763B4">
        <w:rPr>
          <w:color w:val="151616"/>
        </w:rPr>
        <w:t>.</w:t>
      </w:r>
    </w:p>
    <w:p w14:paraId="496DC641" w14:textId="7C2F970E" w:rsidR="005F76F2" w:rsidRPr="000763B4" w:rsidRDefault="005F76F2" w:rsidP="00684414">
      <w:pPr>
        <w:jc w:val="both"/>
        <w:rPr>
          <w:rFonts w:ascii="Segoe UI" w:hAnsi="Segoe UI" w:cs="Segoe UI"/>
        </w:rPr>
      </w:pPr>
      <w:r w:rsidRPr="000763B4">
        <w:rPr>
          <w:rFonts w:ascii="Segoe UI" w:hAnsi="Segoe UI" w:cs="Segoe UI"/>
        </w:rPr>
        <w:t xml:space="preserve">Dzięki wyspecjalizowanej, </w:t>
      </w:r>
      <w:r w:rsidR="00600FDC" w:rsidRPr="000763B4">
        <w:rPr>
          <w:rFonts w:ascii="Segoe UI" w:hAnsi="Segoe UI" w:cs="Segoe UI"/>
        </w:rPr>
        <w:t>globalnej</w:t>
      </w:r>
      <w:r w:rsidRPr="000763B4">
        <w:rPr>
          <w:rFonts w:ascii="Segoe UI" w:hAnsi="Segoe UI" w:cs="Segoe UI"/>
        </w:rPr>
        <w:t xml:space="preserve"> grupie ponad 4200 ekspertów</w:t>
      </w:r>
      <w:r w:rsidR="00684414" w:rsidRPr="000763B4">
        <w:rPr>
          <w:rFonts w:ascii="Segoe UI" w:hAnsi="Segoe UI" w:cs="Segoe UI"/>
        </w:rPr>
        <w:t xml:space="preserve"> w dziedzinie materiałów ciernych</w:t>
      </w:r>
      <w:r w:rsidRPr="000763B4">
        <w:rPr>
          <w:rFonts w:ascii="Segoe UI" w:hAnsi="Segoe UI" w:cs="Segoe UI"/>
        </w:rPr>
        <w:t xml:space="preserve"> z całego świ</w:t>
      </w:r>
      <w:r w:rsidR="00600FDC" w:rsidRPr="000763B4">
        <w:rPr>
          <w:rFonts w:ascii="Segoe UI" w:hAnsi="Segoe UI" w:cs="Segoe UI"/>
        </w:rPr>
        <w:t>a</w:t>
      </w:r>
      <w:r w:rsidRPr="000763B4">
        <w:rPr>
          <w:rFonts w:ascii="Segoe UI" w:hAnsi="Segoe UI" w:cs="Segoe UI"/>
        </w:rPr>
        <w:t xml:space="preserve">ta </w:t>
      </w:r>
      <w:r w:rsidR="00324225" w:rsidRPr="000763B4">
        <w:rPr>
          <w:rFonts w:ascii="Segoe UI" w:hAnsi="Segoe UI" w:cs="Segoe UI"/>
        </w:rPr>
        <w:t>oraz</w:t>
      </w:r>
      <w:r w:rsidRPr="000763B4">
        <w:rPr>
          <w:rFonts w:ascii="Segoe UI" w:hAnsi="Segoe UI" w:cs="Segoe UI"/>
        </w:rPr>
        <w:t xml:space="preserve"> oddziałom</w:t>
      </w:r>
      <w:r w:rsidR="00324225" w:rsidRPr="000763B4">
        <w:rPr>
          <w:rFonts w:ascii="Segoe UI" w:hAnsi="Segoe UI" w:cs="Segoe UI"/>
        </w:rPr>
        <w:t xml:space="preserve"> zlokalizowanym</w:t>
      </w:r>
      <w:r w:rsidRPr="000763B4">
        <w:rPr>
          <w:rFonts w:ascii="Segoe UI" w:hAnsi="Segoe UI" w:cs="Segoe UI"/>
        </w:rPr>
        <w:t xml:space="preserve"> w Europie, na Bliskim Wschodzie, w USA, Brazylii, Meksyku, Chinach i Japonii, TMD Friction jest siłą napędową bezpiecznej i zrównoważonej mobilności przyszłości.</w:t>
      </w:r>
    </w:p>
    <w:p w14:paraId="25E9B431" w14:textId="4779ED3B" w:rsidR="00CF15CA" w:rsidRPr="000763B4" w:rsidRDefault="00600FDC" w:rsidP="00CF15CA">
      <w:pPr>
        <w:rPr>
          <w:rStyle w:val="Pogrubienie"/>
        </w:rPr>
      </w:pPr>
      <w:r w:rsidRPr="000763B4">
        <w:rPr>
          <w:rStyle w:val="Pogrubienie"/>
        </w:rPr>
        <w:t>K</w:t>
      </w:r>
      <w:r w:rsidR="00CF15CA" w:rsidRPr="000763B4">
        <w:rPr>
          <w:rStyle w:val="Pogrubienie"/>
        </w:rPr>
        <w:t>onta</w:t>
      </w:r>
      <w:r w:rsidRPr="000763B4">
        <w:rPr>
          <w:rStyle w:val="Pogrubienie"/>
        </w:rPr>
        <w:t>k</w:t>
      </w:r>
      <w:r w:rsidR="00CF15CA" w:rsidRPr="000763B4">
        <w:rPr>
          <w:rStyle w:val="Pogrubienie"/>
        </w:rPr>
        <w:t>t</w:t>
      </w:r>
      <w:r w:rsidRPr="000763B4">
        <w:rPr>
          <w:rStyle w:val="Pogrubienie"/>
        </w:rPr>
        <w:t xml:space="preserve"> dla mediów</w:t>
      </w:r>
      <w:r w:rsidR="00CF15CA" w:rsidRPr="000763B4">
        <w:rPr>
          <w:rStyle w:val="Pogrubienie"/>
        </w:rPr>
        <w:t>:</w:t>
      </w:r>
    </w:p>
    <w:p w14:paraId="7DD54C41" w14:textId="77777777" w:rsidR="00A774FB" w:rsidRPr="000763B4" w:rsidRDefault="00A774FB" w:rsidP="00A774FB">
      <w:pPr>
        <w:rPr>
          <w:rStyle w:val="Pogrubienie"/>
          <w:b w:val="0"/>
          <w:bCs w:val="0"/>
        </w:rPr>
      </w:pPr>
      <w:r w:rsidRPr="000763B4">
        <w:rPr>
          <w:rStyle w:val="Pogrubienie"/>
          <w:b w:val="0"/>
          <w:bCs w:val="0"/>
        </w:rPr>
        <w:t>Kamila Tarmas-Bilmin</w:t>
      </w:r>
      <w:r w:rsidRPr="000763B4">
        <w:rPr>
          <w:rStyle w:val="Pogrubienie"/>
          <w:b w:val="0"/>
          <w:bCs w:val="0"/>
        </w:rPr>
        <w:tab/>
      </w:r>
      <w:r w:rsidRPr="000763B4">
        <w:rPr>
          <w:rStyle w:val="Pogrubienie"/>
          <w:b w:val="0"/>
          <w:bCs w:val="0"/>
        </w:rPr>
        <w:tab/>
      </w:r>
      <w:r w:rsidRPr="000763B4">
        <w:rPr>
          <w:rStyle w:val="Pogrubienie"/>
          <w:b w:val="0"/>
          <w:bCs w:val="0"/>
        </w:rPr>
        <w:tab/>
      </w:r>
      <w:r w:rsidRPr="000763B4">
        <w:rPr>
          <w:rStyle w:val="Pogrubienie"/>
          <w:b w:val="0"/>
          <w:bCs w:val="0"/>
        </w:rPr>
        <w:tab/>
      </w:r>
      <w:r w:rsidRPr="000763B4">
        <w:rPr>
          <w:rStyle w:val="Pogrubienie"/>
          <w:b w:val="0"/>
          <w:bCs w:val="0"/>
        </w:rPr>
        <w:tab/>
        <w:t>Krzysztof Jordan</w:t>
      </w:r>
    </w:p>
    <w:p w14:paraId="7ADB61C1" w14:textId="4299DEB4" w:rsidR="00A774FB" w:rsidRPr="00F353BD" w:rsidRDefault="00A774FB" w:rsidP="00A774FB">
      <w:pPr>
        <w:rPr>
          <w:rStyle w:val="Pogrubienie"/>
          <w:b w:val="0"/>
          <w:bCs w:val="0"/>
          <w:lang w:val="en-US"/>
        </w:rPr>
      </w:pPr>
      <w:r w:rsidRPr="00F353BD">
        <w:rPr>
          <w:rStyle w:val="Pogrubienie"/>
          <w:b w:val="0"/>
          <w:bCs w:val="0"/>
          <w:lang w:val="en-US"/>
        </w:rPr>
        <w:t>TMD Friction</w:t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  <w:t>ConTrust Communication</w:t>
      </w:r>
    </w:p>
    <w:p w14:paraId="4D422AF7" w14:textId="08FA6240" w:rsidR="00A774FB" w:rsidRPr="00F353BD" w:rsidRDefault="00A774FB" w:rsidP="00A774FB">
      <w:pPr>
        <w:rPr>
          <w:rStyle w:val="Pogrubienie"/>
          <w:b w:val="0"/>
          <w:bCs w:val="0"/>
          <w:lang w:val="en-US"/>
        </w:rPr>
      </w:pPr>
      <w:r w:rsidRPr="00F353BD">
        <w:rPr>
          <w:rStyle w:val="Pogrubienie"/>
          <w:b w:val="0"/>
          <w:bCs w:val="0"/>
          <w:lang w:val="en-US"/>
        </w:rPr>
        <w:t>tel. 668 652 437</w:t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  <w:t>tel. 533 877 677</w:t>
      </w:r>
    </w:p>
    <w:p w14:paraId="36E39895" w14:textId="74F96E2C" w:rsidR="00CF15CA" w:rsidRPr="00A774FB" w:rsidRDefault="00A774FB" w:rsidP="00A774FB">
      <w:pPr>
        <w:rPr>
          <w:color w:val="000000" w:themeColor="text1"/>
          <w:lang w:val="en-US"/>
        </w:rPr>
      </w:pPr>
      <w:hyperlink r:id="rId11" w:history="1">
        <w:r w:rsidRPr="00F353BD">
          <w:rPr>
            <w:rStyle w:val="Hipercze"/>
            <w:lang w:val="en-US"/>
          </w:rPr>
          <w:t>kamila.tarmas-bilmin@tmdfriction.com</w:t>
        </w:r>
      </w:hyperlink>
      <w:r w:rsidRPr="00F353BD">
        <w:rPr>
          <w:rStyle w:val="Pogrubienie"/>
          <w:b w:val="0"/>
          <w:bCs w:val="0"/>
          <w:lang w:val="en-US"/>
        </w:rPr>
        <w:tab/>
      </w:r>
      <w:r w:rsidRPr="00F353BD">
        <w:rPr>
          <w:rStyle w:val="Pogrubienie"/>
          <w:b w:val="0"/>
          <w:bCs w:val="0"/>
          <w:lang w:val="en-US"/>
        </w:rPr>
        <w:tab/>
      </w:r>
      <w:hyperlink r:id="rId12" w:history="1">
        <w:r w:rsidRPr="00F353BD">
          <w:rPr>
            <w:rStyle w:val="Hipercze"/>
            <w:lang w:val="en-US"/>
          </w:rPr>
          <w:t>k.jordan@contrust.pl</w:t>
        </w:r>
      </w:hyperlink>
      <w:r w:rsidRPr="00F353BD">
        <w:rPr>
          <w:rStyle w:val="Pogrubienie"/>
          <w:b w:val="0"/>
          <w:bCs w:val="0"/>
          <w:lang w:val="en-US"/>
        </w:rPr>
        <w:t xml:space="preserve"> </w:t>
      </w:r>
    </w:p>
    <w:sectPr w:rsidR="00CF15CA" w:rsidRPr="00A774FB" w:rsidSect="00004FC0">
      <w:headerReference w:type="default" r:id="rId13"/>
      <w:footerReference w:type="default" r:id="rId14"/>
      <w:footerReference w:type="first" r:id="rId15"/>
      <w:pgSz w:w="11906" w:h="16838"/>
      <w:pgMar w:top="2410" w:right="1129" w:bottom="1134" w:left="1417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43A7" w14:textId="77777777" w:rsidR="003930F0" w:rsidRPr="000763B4" w:rsidRDefault="003930F0" w:rsidP="007F11AE">
      <w:pPr>
        <w:spacing w:after="0" w:line="240" w:lineRule="auto"/>
      </w:pPr>
      <w:r w:rsidRPr="000763B4">
        <w:separator/>
      </w:r>
    </w:p>
  </w:endnote>
  <w:endnote w:type="continuationSeparator" w:id="0">
    <w:p w14:paraId="0AA17CAB" w14:textId="77777777" w:rsidR="003930F0" w:rsidRPr="000763B4" w:rsidRDefault="003930F0" w:rsidP="007F11AE">
      <w:pPr>
        <w:spacing w:after="0" w:line="240" w:lineRule="auto"/>
      </w:pPr>
      <w:r w:rsidRPr="000763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FF Acid Grotesk">
    <w:altName w:val="Calibri"/>
    <w:panose1 w:val="00000000000000000000"/>
    <w:charset w:val="00"/>
    <w:family w:val="swiss"/>
    <w:notTrueType/>
    <w:pitch w:val="variable"/>
    <w:sig w:usb0="20000007" w:usb1="02000021" w:usb2="00000000" w:usb3="00000000" w:csb0="000001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04B3" w14:textId="491F99BB" w:rsidR="002E36BB" w:rsidRPr="000763B4" w:rsidRDefault="002E36BB">
    <w:pPr>
      <w:pStyle w:val="Stopka"/>
    </w:pPr>
    <w:r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79EE5B" wp14:editId="5C59645D">
              <wp:simplePos x="0" y="0"/>
              <wp:positionH relativeFrom="margin">
                <wp:posOffset>635</wp:posOffset>
              </wp:positionH>
              <wp:positionV relativeFrom="paragraph">
                <wp:posOffset>817880</wp:posOffset>
              </wp:positionV>
              <wp:extent cx="5403273" cy="124287"/>
              <wp:effectExtent l="0" t="0" r="6985" b="9525"/>
              <wp:wrapNone/>
              <wp:docPr id="80284294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73" cy="1242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C18FB7" w14:textId="77777777" w:rsidR="002E36BB" w:rsidRPr="00F353BD" w:rsidRDefault="002E36BB" w:rsidP="002E36BB">
                          <w:pPr>
                            <w:spacing w:after="0" w:line="168" w:lineRule="exact"/>
                            <w:jc w:val="center"/>
                            <w:rPr>
                              <w:rFonts w:ascii="FFF Acid Grotesk" w:hAnsi="FFF Acid Grotesk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ascii="FFF Acid Grotesk" w:hAnsi="FFF Acid Grotesk"/>
                              <w:sz w:val="14"/>
                              <w:szCs w:val="14"/>
                              <w:lang w:val="en-US"/>
                            </w:rPr>
                            <w:t>CLASSIFICATION LEVEL (delete the 3 options that don't apply): PUBLIC, INTERNAL ONLY, CONFIDENTIAL,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9EE5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.05pt;margin-top:64.4pt;width:425.45pt;height:9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" filled="f" stroked="f" strokeweight=".5pt">
              <v:textbox inset="0,0,0,0">
                <w:txbxContent>
                  <w:p w14:paraId="36C18FB7" w14:textId="77777777" w:rsidR="002E36BB" w:rsidRPr="00F353BD" w:rsidRDefault="002E36BB" w:rsidP="002E36BB">
                    <w:pPr>
                      <w:spacing w:after="0" w:line="168" w:lineRule="exact"/>
                      <w:jc w:val="center"/>
                      <w:rPr>
                        <w:rFonts w:ascii="FFF Acid Grotesk" w:hAnsi="FFF Acid Grotesk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ascii="FFF Acid Grotesk" w:hAnsi="FFF Acid Grotesk"/>
                        <w:sz w:val="14"/>
                        <w:szCs w:val="14"/>
                        <w:lang w:val="en-US"/>
                      </w:rPr>
                      <w:t>CLASSIFICATION LEVEL (delete the 3 options that don't apply): PUBLIC, INTERNAL ONLY, CONFIDENTIAL, STRICTLY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DB9F" w14:textId="77777777" w:rsidR="002E36BB" w:rsidRPr="000763B4" w:rsidRDefault="0097231C">
    <w:pPr>
      <w:pStyle w:val="Stopka"/>
    </w:pPr>
    <w:r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91B6CB" wp14:editId="401E5187">
              <wp:simplePos x="0" y="0"/>
              <wp:positionH relativeFrom="column">
                <wp:posOffset>4347118</wp:posOffset>
              </wp:positionH>
              <wp:positionV relativeFrom="paragraph">
                <wp:posOffset>-444409</wp:posOffset>
              </wp:positionV>
              <wp:extent cx="1670957" cy="941705"/>
              <wp:effectExtent l="0" t="0" r="5715" b="10795"/>
              <wp:wrapNone/>
              <wp:docPr id="172000484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957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85C92A" w14:textId="77777777" w:rsidR="002E36BB" w:rsidRPr="00791134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791134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>UniCredit Bank AG, Düsseldorf</w:t>
                          </w:r>
                        </w:p>
                        <w:p w14:paraId="55831724" w14:textId="77777777" w:rsidR="002E36BB" w:rsidRPr="00791134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791134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 xml:space="preserve">Bank Code (BLZ):  302 201 90  </w:t>
                          </w:r>
                        </w:p>
                        <w:p w14:paraId="211B937A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Account Number:  18 47 59 95  </w:t>
                          </w:r>
                        </w:p>
                        <w:p w14:paraId="39F5692A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S.W.I.F.T. Code / BIC:  HYVE DE MM 414 </w:t>
                          </w:r>
                        </w:p>
                        <w:p w14:paraId="16D052CB" w14:textId="77777777" w:rsidR="002E36BB" w:rsidRPr="000763B4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>IBAN</w:t>
                          </w:r>
                          <w:r w:rsidR="0097231C"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>DE88 3022 0190 0018 4759 95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1B6C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2.3pt;margin-top:-35pt;width:131.55pt;height:7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" filled="f" stroked="f" strokeweight=".5pt">
              <v:textbox inset="0,0,0,0">
                <w:txbxContent>
                  <w:p w14:paraId="0685C92A" w14:textId="77777777" w:rsidR="002E36BB" w:rsidRPr="00791134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de-DE"/>
                      </w:rPr>
                    </w:pPr>
                    <w:r w:rsidRPr="00791134">
                      <w:rPr>
                        <w:rFonts w:cs="Arial"/>
                        <w:sz w:val="14"/>
                        <w:szCs w:val="14"/>
                        <w:lang w:val="de-DE"/>
                      </w:rPr>
                      <w:t>UniCredit Bank AG, Düsseldorf</w:t>
                    </w:r>
                  </w:p>
                  <w:p w14:paraId="55831724" w14:textId="77777777" w:rsidR="002E36BB" w:rsidRPr="00791134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de-DE"/>
                      </w:rPr>
                    </w:pPr>
                    <w:r w:rsidRPr="00791134">
                      <w:rPr>
                        <w:rFonts w:cs="Arial"/>
                        <w:sz w:val="14"/>
                        <w:szCs w:val="14"/>
                        <w:lang w:val="de-DE"/>
                      </w:rPr>
                      <w:t xml:space="preserve">Bank Code (BLZ):  302 201 90  </w:t>
                    </w:r>
                  </w:p>
                  <w:p w14:paraId="211B937A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Account Number:  18 47 59 95  </w:t>
                    </w:r>
                  </w:p>
                  <w:p w14:paraId="39F5692A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S.W.I.F.T. Code / BIC:  HYVE DE MM 414 </w:t>
                    </w:r>
                  </w:p>
                  <w:p w14:paraId="16D052CB" w14:textId="77777777" w:rsidR="002E36BB" w:rsidRPr="000763B4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0763B4">
                      <w:rPr>
                        <w:rFonts w:cs="Arial"/>
                        <w:sz w:val="14"/>
                        <w:szCs w:val="14"/>
                      </w:rPr>
                      <w:t>IBAN</w:t>
                    </w:r>
                    <w:r w:rsidR="0097231C" w:rsidRPr="000763B4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0763B4">
                      <w:rPr>
                        <w:rFonts w:cs="Arial"/>
                        <w:sz w:val="14"/>
                        <w:szCs w:val="14"/>
                      </w:rPr>
                      <w:t>DE88 3022 0190 0018 4759 95</w:t>
                    </w:r>
                  </w:p>
                </w:txbxContent>
              </v:textbox>
            </v:shape>
          </w:pict>
        </mc:Fallback>
      </mc:AlternateContent>
    </w:r>
    <w:r w:rsidR="002E36BB"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2A8254" wp14:editId="07D6CC00">
              <wp:simplePos x="0" y="0"/>
              <wp:positionH relativeFrom="margin">
                <wp:posOffset>-40005</wp:posOffset>
              </wp:positionH>
              <wp:positionV relativeFrom="paragraph">
                <wp:posOffset>371475</wp:posOffset>
              </wp:positionV>
              <wp:extent cx="5403215" cy="123825"/>
              <wp:effectExtent l="0" t="0" r="6985" b="9525"/>
              <wp:wrapNone/>
              <wp:docPr id="109726546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15" cy="123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A22AD2" w14:textId="77777777" w:rsidR="002E36BB" w:rsidRPr="00F353BD" w:rsidRDefault="002E36BB" w:rsidP="0097231C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CLASSIFICATION LEVEL (delete the 3 options that don't apply): PUBLIC, INTERNAL ONLY, CONFIDENTIAL, 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2A8254" id="_x0000_s1029" type="#_x0000_t202" style="position:absolute;margin-left:-3.15pt;margin-top:29.25pt;width:425.4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" filled="f" stroked="f" strokeweight=".5pt">
              <v:textbox inset="0,0,0,0">
                <w:txbxContent>
                  <w:p w14:paraId="43A22AD2" w14:textId="77777777" w:rsidR="002E36BB" w:rsidRPr="00F353BD" w:rsidRDefault="002E36BB" w:rsidP="0097231C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>CLASSIFICATION LEVEL (delete the 3 options that don't apply): PUBLIC, INTERNAL ONLY, CONFIDENTIAL, STRICTLY CONFIDENTIAL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E36BB"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5CDCA9" wp14:editId="438A363B">
              <wp:simplePos x="0" y="0"/>
              <wp:positionH relativeFrom="column">
                <wp:posOffset>2457450</wp:posOffset>
              </wp:positionH>
              <wp:positionV relativeFrom="paragraph">
                <wp:posOffset>-444500</wp:posOffset>
              </wp:positionV>
              <wp:extent cx="1651635" cy="941705"/>
              <wp:effectExtent l="0" t="0" r="0" b="0"/>
              <wp:wrapNone/>
              <wp:docPr id="1069669759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635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B272EA" w14:textId="77777777" w:rsidR="002E36BB" w:rsidRPr="00791134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791134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 xml:space="preserve">Commerzbank AG, Leverkusen  </w:t>
                          </w:r>
                        </w:p>
                        <w:p w14:paraId="76EF3B4B" w14:textId="77777777" w:rsidR="002E36BB" w:rsidRPr="00791134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r w:rsidRPr="00791134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 xml:space="preserve">Bank Code (BLZ):  375 400 50  </w:t>
                          </w:r>
                        </w:p>
                        <w:p w14:paraId="52C2A69A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Account Number:  44 45 82 101  </w:t>
                          </w:r>
                        </w:p>
                        <w:p w14:paraId="107E539D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S.W.I.F.T. Code / BIC:  COBA DE FF 375  </w:t>
                          </w:r>
                        </w:p>
                        <w:p w14:paraId="595A7691" w14:textId="77777777" w:rsidR="002E36BB" w:rsidRPr="000763B4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>IBAN</w:t>
                          </w:r>
                          <w:r w:rsidR="0097231C"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0763B4">
                            <w:rPr>
                              <w:rFonts w:cs="Arial"/>
                              <w:sz w:val="14"/>
                              <w:szCs w:val="14"/>
                            </w:rPr>
                            <w:t>DE25 3754 0050 0444 5821 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5CDCA9" id="_x0000_s1030" type="#_x0000_t202" style="position:absolute;margin-left:193.5pt;margin-top:-35pt;width:130.05pt;height:7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" filled="f" stroked="f" strokeweight=".5pt">
              <v:textbox inset="0,0,0,0">
                <w:txbxContent>
                  <w:p w14:paraId="36B272EA" w14:textId="77777777" w:rsidR="002E36BB" w:rsidRPr="00791134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de-DE"/>
                      </w:rPr>
                    </w:pPr>
                    <w:r w:rsidRPr="00791134">
                      <w:rPr>
                        <w:rFonts w:cs="Arial"/>
                        <w:sz w:val="14"/>
                        <w:szCs w:val="14"/>
                        <w:lang w:val="de-DE"/>
                      </w:rPr>
                      <w:t xml:space="preserve">Commerzbank AG, Leverkusen  </w:t>
                    </w:r>
                  </w:p>
                  <w:p w14:paraId="76EF3B4B" w14:textId="77777777" w:rsidR="002E36BB" w:rsidRPr="00791134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de-DE"/>
                      </w:rPr>
                    </w:pPr>
                    <w:r w:rsidRPr="00791134">
                      <w:rPr>
                        <w:rFonts w:cs="Arial"/>
                        <w:sz w:val="14"/>
                        <w:szCs w:val="14"/>
                        <w:lang w:val="de-DE"/>
                      </w:rPr>
                      <w:t xml:space="preserve">Bank Code (BLZ):  375 400 50  </w:t>
                    </w:r>
                  </w:p>
                  <w:p w14:paraId="52C2A69A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Account Number:  44 45 82 101  </w:t>
                    </w:r>
                  </w:p>
                  <w:p w14:paraId="107E539D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S.W.I.F.T. Code / BIC:  COBA DE FF 375  </w:t>
                    </w:r>
                  </w:p>
                  <w:p w14:paraId="595A7691" w14:textId="77777777" w:rsidR="002E36BB" w:rsidRPr="000763B4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</w:rPr>
                    </w:pPr>
                    <w:r w:rsidRPr="000763B4">
                      <w:rPr>
                        <w:rFonts w:cs="Arial"/>
                        <w:sz w:val="14"/>
                        <w:szCs w:val="14"/>
                      </w:rPr>
                      <w:t>IBAN</w:t>
                    </w:r>
                    <w:r w:rsidR="0097231C" w:rsidRPr="000763B4">
                      <w:rPr>
                        <w:rFonts w:cs="Arial"/>
                        <w:sz w:val="14"/>
                        <w:szCs w:val="14"/>
                      </w:rPr>
                      <w:t xml:space="preserve">  </w:t>
                    </w:r>
                    <w:r w:rsidRPr="000763B4">
                      <w:rPr>
                        <w:rFonts w:cs="Arial"/>
                        <w:sz w:val="14"/>
                        <w:szCs w:val="14"/>
                      </w:rPr>
                      <w:t>DE25 3754 0050 0444 5821 01</w:t>
                    </w:r>
                  </w:p>
                </w:txbxContent>
              </v:textbox>
            </v:shape>
          </w:pict>
        </mc:Fallback>
      </mc:AlternateContent>
    </w:r>
    <w:r w:rsidR="002E36BB"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F526C" wp14:editId="0619BCAC">
              <wp:simplePos x="0" y="0"/>
              <wp:positionH relativeFrom="column">
                <wp:posOffset>-40341</wp:posOffset>
              </wp:positionH>
              <wp:positionV relativeFrom="paragraph">
                <wp:posOffset>-445845</wp:posOffset>
              </wp:positionV>
              <wp:extent cx="2458720" cy="941705"/>
              <wp:effectExtent l="0" t="0" r="0" b="10795"/>
              <wp:wrapNone/>
              <wp:docPr id="530224568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8720" cy="94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D00F02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Management Board: </w:t>
                          </w:r>
                        </w:p>
                        <w:p w14:paraId="52DC8449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David Baines, Robert Roiger, Sebastian Despineux </w:t>
                          </w:r>
                        </w:p>
                        <w:p w14:paraId="70CBC613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Registered Office: Leverkusen  </w:t>
                          </w:r>
                        </w:p>
                        <w:p w14:paraId="547AB3C6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HRB 118934  </w:t>
                          </w:r>
                        </w:p>
                        <w:p w14:paraId="024F89ED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 xml:space="preserve">Commercial Register Court:  Amtsgericht Köln </w:t>
                          </w:r>
                        </w:p>
                        <w:p w14:paraId="406AF827" w14:textId="77777777" w:rsidR="002E36BB" w:rsidRPr="00F353BD" w:rsidRDefault="002E36BB" w:rsidP="002E36BB">
                          <w:pPr>
                            <w:spacing w:after="0" w:line="168" w:lineRule="exact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F353BD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Value Added Tax Identification Number:  DE 3684566797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4F526C" id="_x0000_s1031" type="#_x0000_t202" style="position:absolute;margin-left:-3.2pt;margin-top:-35.1pt;width:193.6pt;height:7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" filled="f" stroked="f" strokeweight=".5pt">
              <v:textbox inset="0,0,0,0">
                <w:txbxContent>
                  <w:p w14:paraId="12D00F02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Management Board: </w:t>
                    </w:r>
                  </w:p>
                  <w:p w14:paraId="52DC8449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David Baines, Robert Roiger, Sebastian Despineux </w:t>
                    </w:r>
                  </w:p>
                  <w:p w14:paraId="70CBC613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Registered Office: Leverkusen  </w:t>
                    </w:r>
                  </w:p>
                  <w:p w14:paraId="547AB3C6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HRB 118934  </w:t>
                    </w:r>
                  </w:p>
                  <w:p w14:paraId="024F89ED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Commercial Register Court:  </w:t>
                    </w:r>
                    <w:proofErr w:type="spellStart"/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>Amtsgericht</w:t>
                    </w:r>
                    <w:proofErr w:type="spellEnd"/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 xml:space="preserve"> Köln </w:t>
                    </w:r>
                  </w:p>
                  <w:p w14:paraId="406AF827" w14:textId="77777777" w:rsidR="002E36BB" w:rsidRPr="00F353BD" w:rsidRDefault="002E36BB" w:rsidP="002E36BB">
                    <w:pPr>
                      <w:spacing w:after="0" w:line="168" w:lineRule="exact"/>
                      <w:rPr>
                        <w:rFonts w:cs="Arial"/>
                        <w:sz w:val="14"/>
                        <w:szCs w:val="14"/>
                        <w:lang w:val="en-US"/>
                      </w:rPr>
                    </w:pPr>
                    <w:r w:rsidRPr="00F353BD">
                      <w:rPr>
                        <w:rFonts w:cs="Arial"/>
                        <w:sz w:val="14"/>
                        <w:szCs w:val="14"/>
                        <w:lang w:val="en-US"/>
                      </w:rPr>
                      <w:t>Value Added Tax Identification Number:  DE 3684566797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E24D7" w14:textId="77777777" w:rsidR="003930F0" w:rsidRPr="000763B4" w:rsidRDefault="003930F0" w:rsidP="007F11AE">
      <w:pPr>
        <w:spacing w:after="0" w:line="240" w:lineRule="auto"/>
      </w:pPr>
      <w:r w:rsidRPr="000763B4">
        <w:separator/>
      </w:r>
    </w:p>
  </w:footnote>
  <w:footnote w:type="continuationSeparator" w:id="0">
    <w:p w14:paraId="56E40A35" w14:textId="77777777" w:rsidR="003930F0" w:rsidRPr="000763B4" w:rsidRDefault="003930F0" w:rsidP="007F11AE">
      <w:pPr>
        <w:spacing w:after="0" w:line="240" w:lineRule="auto"/>
      </w:pPr>
      <w:r w:rsidRPr="000763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8190" w14:textId="15792A0D" w:rsidR="00693C86" w:rsidRPr="000763B4" w:rsidRDefault="00151A77" w:rsidP="00ED4AEA">
    <w:pPr>
      <w:pStyle w:val="Nagwek"/>
      <w:jc w:val="center"/>
      <w:rPr>
        <w:rFonts w:ascii="Segoe UI" w:hAnsi="Segoe UI" w:cs="Segoe UI"/>
      </w:rPr>
    </w:pPr>
    <w:r w:rsidRPr="000763B4">
      <w:rPr>
        <w:b/>
        <w:bCs/>
        <w:noProof/>
        <w:color w:val="C79757" w:themeColor="accent1"/>
        <w:sz w:val="32"/>
        <w:szCs w:val="32"/>
        <w:lang w:eastAsia="de-D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1AA8836" wp14:editId="2A0C95A7">
              <wp:simplePos x="0" y="0"/>
              <wp:positionH relativeFrom="column">
                <wp:posOffset>2841625</wp:posOffset>
              </wp:positionH>
              <wp:positionV relativeFrom="paragraph">
                <wp:posOffset>-190500</wp:posOffset>
              </wp:positionV>
              <wp:extent cx="3177540" cy="403860"/>
              <wp:effectExtent l="0" t="0" r="0" b="0"/>
              <wp:wrapTopAndBottom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7540" cy="403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21CE6" w14:textId="0B3C8CA0" w:rsidR="00151A77" w:rsidRPr="000763B4" w:rsidRDefault="00291799" w:rsidP="00004FC0">
                          <w:pPr>
                            <w:spacing w:before="100" w:beforeAutospacing="1" w:after="100" w:afterAutospacing="1"/>
                            <w:jc w:val="right"/>
                            <w:rPr>
                              <w:rFonts w:ascii="Segoe UI" w:hAnsi="Segoe UI" w:cs="Segoe UI"/>
                              <w:sz w:val="40"/>
                              <w:szCs w:val="40"/>
                            </w:rPr>
                          </w:pPr>
                          <w:r w:rsidRPr="000763B4">
                            <w:rPr>
                              <w:rFonts w:ascii="Segoe UI" w:hAnsi="Segoe UI" w:cs="Segoe UI"/>
                              <w:b/>
                              <w:bCs/>
                              <w:color w:val="C79757" w:themeColor="accent1"/>
                              <w:sz w:val="40"/>
                              <w:szCs w:val="40"/>
                            </w:rPr>
                            <w:t>Informacja prasowa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A883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223.75pt;margin-top:-15pt;width:250.2pt;height:31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" filled="f" stroked="f">
              <v:textbox>
                <w:txbxContent>
                  <w:p w14:paraId="42F21CE6" w14:textId="0B3C8CA0" w:rsidR="00151A77" w:rsidRPr="000763B4" w:rsidRDefault="00291799" w:rsidP="00004FC0">
                    <w:pPr>
                      <w:spacing w:before="100" w:beforeAutospacing="1" w:after="100" w:afterAutospacing="1"/>
                      <w:jc w:val="right"/>
                      <w:rPr>
                        <w:rFonts w:ascii="Segoe UI" w:hAnsi="Segoe UI" w:cs="Segoe UI"/>
                        <w:sz w:val="40"/>
                        <w:szCs w:val="40"/>
                      </w:rPr>
                    </w:pPr>
                    <w:r w:rsidRPr="000763B4">
                      <w:rPr>
                        <w:rFonts w:ascii="Segoe UI" w:hAnsi="Segoe UI" w:cs="Segoe UI"/>
                        <w:b/>
                        <w:bCs/>
                        <w:color w:val="C79757" w:themeColor="accent1"/>
                        <w:sz w:val="40"/>
                        <w:szCs w:val="40"/>
                      </w:rPr>
                      <w:t>Informacja prasowa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81D58" w:rsidRPr="000763B4">
      <w:rPr>
        <w:noProof/>
        <w:lang w:eastAsia="de-DE"/>
      </w:rPr>
      <w:drawing>
        <wp:anchor distT="0" distB="0" distL="114300" distR="114300" simplePos="0" relativeHeight="251677696" behindDoc="0" locked="0" layoutInCell="1" allowOverlap="1" wp14:anchorId="2D17F7D1" wp14:editId="1F1210FD">
          <wp:simplePos x="0" y="0"/>
          <wp:positionH relativeFrom="column">
            <wp:posOffset>-19050</wp:posOffset>
          </wp:positionH>
          <wp:positionV relativeFrom="paragraph">
            <wp:posOffset>-64135</wp:posOffset>
          </wp:positionV>
          <wp:extent cx="1384935" cy="194945"/>
          <wp:effectExtent l="0" t="0" r="5715" b="0"/>
          <wp:wrapSquare wrapText="bothSides"/>
          <wp:docPr id="709291601" name="Grafik 18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73756" name="Grafik 18" descr="Ein Bild, das Schwarz, Dunkelh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1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D58" w:rsidRPr="000763B4">
      <w:t xml:space="preserve">                                                                                                                               </w:t>
    </w:r>
  </w:p>
  <w:p w14:paraId="7C383472" w14:textId="214D606A" w:rsidR="00693C86" w:rsidRPr="000763B4" w:rsidRDefault="00F83506" w:rsidP="00693C86">
    <w:pPr>
      <w:pStyle w:val="Nagwek"/>
    </w:pPr>
    <w:r w:rsidRPr="000763B4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07897B4" wp14:editId="2443FBD4">
              <wp:simplePos x="0" y="0"/>
              <wp:positionH relativeFrom="column">
                <wp:posOffset>-31115</wp:posOffset>
              </wp:positionH>
              <wp:positionV relativeFrom="paragraph">
                <wp:posOffset>128905</wp:posOffset>
              </wp:positionV>
              <wp:extent cx="5958840" cy="0"/>
              <wp:effectExtent l="0" t="0" r="0" b="0"/>
              <wp:wrapNone/>
              <wp:docPr id="301421459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884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43D353" id="Gerader Verbinde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0.15pt" to="466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" strokecolor="#c79757 [3204]" strokeweight="1pt">
              <v:stroke joinstyle="miter"/>
            </v:line>
          </w:pict>
        </mc:Fallback>
      </mc:AlternateContent>
    </w:r>
    <w:r w:rsidR="00693C86" w:rsidRPr="000763B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FC69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D6F0D"/>
    <w:multiLevelType w:val="hybridMultilevel"/>
    <w:tmpl w:val="7596765C"/>
    <w:lvl w:ilvl="0" w:tplc="A8F42088">
      <w:numFmt w:val="bullet"/>
      <w:lvlText w:val="•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39F2"/>
    <w:multiLevelType w:val="hybridMultilevel"/>
    <w:tmpl w:val="6D1A1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03F70"/>
    <w:multiLevelType w:val="hybridMultilevel"/>
    <w:tmpl w:val="EB6A0A42"/>
    <w:lvl w:ilvl="0" w:tplc="6BF2801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775B"/>
    <w:multiLevelType w:val="multilevel"/>
    <w:tmpl w:val="57E8E12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417354C"/>
    <w:multiLevelType w:val="hybridMultilevel"/>
    <w:tmpl w:val="E0523A8A"/>
    <w:lvl w:ilvl="0" w:tplc="33F0E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79757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80C56"/>
    <w:multiLevelType w:val="hybridMultilevel"/>
    <w:tmpl w:val="CFDE3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90072"/>
    <w:multiLevelType w:val="hybridMultilevel"/>
    <w:tmpl w:val="88943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A0572"/>
    <w:multiLevelType w:val="hybridMultilevel"/>
    <w:tmpl w:val="1A9E9B3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2215D45"/>
    <w:multiLevelType w:val="hybridMultilevel"/>
    <w:tmpl w:val="E17E3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C641A"/>
    <w:multiLevelType w:val="hybridMultilevel"/>
    <w:tmpl w:val="005C2994"/>
    <w:lvl w:ilvl="0" w:tplc="A8F42088">
      <w:numFmt w:val="bullet"/>
      <w:lvlText w:val="•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32589"/>
    <w:multiLevelType w:val="hybridMultilevel"/>
    <w:tmpl w:val="9AF8C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973AA"/>
    <w:multiLevelType w:val="hybridMultilevel"/>
    <w:tmpl w:val="3502F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77674">
    <w:abstractNumId w:val="0"/>
  </w:num>
  <w:num w:numId="2" w16cid:durableId="2000425785">
    <w:abstractNumId w:val="8"/>
  </w:num>
  <w:num w:numId="3" w16cid:durableId="2458507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2276626">
    <w:abstractNumId w:val="2"/>
  </w:num>
  <w:num w:numId="5" w16cid:durableId="520898585">
    <w:abstractNumId w:val="9"/>
  </w:num>
  <w:num w:numId="6" w16cid:durableId="866061922">
    <w:abstractNumId w:val="5"/>
  </w:num>
  <w:num w:numId="7" w16cid:durableId="2072728081">
    <w:abstractNumId w:val="4"/>
  </w:num>
  <w:num w:numId="8" w16cid:durableId="3745939">
    <w:abstractNumId w:val="4"/>
  </w:num>
  <w:num w:numId="9" w16cid:durableId="291836049">
    <w:abstractNumId w:val="4"/>
  </w:num>
  <w:num w:numId="10" w16cid:durableId="596014126">
    <w:abstractNumId w:val="4"/>
  </w:num>
  <w:num w:numId="11" w16cid:durableId="27267198">
    <w:abstractNumId w:val="4"/>
  </w:num>
  <w:num w:numId="12" w16cid:durableId="157229234">
    <w:abstractNumId w:val="4"/>
  </w:num>
  <w:num w:numId="13" w16cid:durableId="1003046845">
    <w:abstractNumId w:val="4"/>
  </w:num>
  <w:num w:numId="14" w16cid:durableId="569578397">
    <w:abstractNumId w:val="4"/>
  </w:num>
  <w:num w:numId="15" w16cid:durableId="647634374">
    <w:abstractNumId w:val="4"/>
  </w:num>
  <w:num w:numId="16" w16cid:durableId="1316449847">
    <w:abstractNumId w:val="4"/>
  </w:num>
  <w:num w:numId="17" w16cid:durableId="2116440707">
    <w:abstractNumId w:val="6"/>
  </w:num>
  <w:num w:numId="18" w16cid:durableId="1348558086">
    <w:abstractNumId w:val="11"/>
  </w:num>
  <w:num w:numId="19" w16cid:durableId="1509445278">
    <w:abstractNumId w:val="7"/>
  </w:num>
  <w:num w:numId="20" w16cid:durableId="2146459386">
    <w:abstractNumId w:val="1"/>
  </w:num>
  <w:num w:numId="21" w16cid:durableId="879055443">
    <w:abstractNumId w:val="10"/>
  </w:num>
  <w:num w:numId="22" w16cid:durableId="1946570940">
    <w:abstractNumId w:val="12"/>
  </w:num>
  <w:num w:numId="23" w16cid:durableId="662973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7FA"/>
    <w:rsid w:val="00002F5A"/>
    <w:rsid w:val="00004FC0"/>
    <w:rsid w:val="00007B74"/>
    <w:rsid w:val="00011F55"/>
    <w:rsid w:val="000525B9"/>
    <w:rsid w:val="00053661"/>
    <w:rsid w:val="000561D3"/>
    <w:rsid w:val="0006739B"/>
    <w:rsid w:val="00072D70"/>
    <w:rsid w:val="000763B4"/>
    <w:rsid w:val="00082FE2"/>
    <w:rsid w:val="000923FC"/>
    <w:rsid w:val="00096E4B"/>
    <w:rsid w:val="000A3B94"/>
    <w:rsid w:val="000A68C0"/>
    <w:rsid w:val="000C0004"/>
    <w:rsid w:val="000E4CA2"/>
    <w:rsid w:val="00103AFD"/>
    <w:rsid w:val="00113009"/>
    <w:rsid w:val="00116155"/>
    <w:rsid w:val="00122418"/>
    <w:rsid w:val="00126CDA"/>
    <w:rsid w:val="00126FCC"/>
    <w:rsid w:val="00144E69"/>
    <w:rsid w:val="00151A77"/>
    <w:rsid w:val="001606C2"/>
    <w:rsid w:val="001628C1"/>
    <w:rsid w:val="001653D3"/>
    <w:rsid w:val="001924EA"/>
    <w:rsid w:val="0019680D"/>
    <w:rsid w:val="001A57E2"/>
    <w:rsid w:val="001D5851"/>
    <w:rsid w:val="001E7EB6"/>
    <w:rsid w:val="001F0F71"/>
    <w:rsid w:val="001F176C"/>
    <w:rsid w:val="00291799"/>
    <w:rsid w:val="002B3E34"/>
    <w:rsid w:val="002C09D4"/>
    <w:rsid w:val="002E36BB"/>
    <w:rsid w:val="002E41DB"/>
    <w:rsid w:val="002E5FB3"/>
    <w:rsid w:val="002F2DA9"/>
    <w:rsid w:val="0032346A"/>
    <w:rsid w:val="00324225"/>
    <w:rsid w:val="00342D4D"/>
    <w:rsid w:val="003930F0"/>
    <w:rsid w:val="00484F58"/>
    <w:rsid w:val="00486506"/>
    <w:rsid w:val="00497989"/>
    <w:rsid w:val="004B25B0"/>
    <w:rsid w:val="004B364F"/>
    <w:rsid w:val="004C6EDD"/>
    <w:rsid w:val="004F3DA5"/>
    <w:rsid w:val="005005CE"/>
    <w:rsid w:val="00520366"/>
    <w:rsid w:val="00526D70"/>
    <w:rsid w:val="00541E8D"/>
    <w:rsid w:val="00561D11"/>
    <w:rsid w:val="005A1337"/>
    <w:rsid w:val="005C59B6"/>
    <w:rsid w:val="005E3E90"/>
    <w:rsid w:val="005F76F2"/>
    <w:rsid w:val="005F7C0C"/>
    <w:rsid w:val="00600CCE"/>
    <w:rsid w:val="00600FDC"/>
    <w:rsid w:val="00625D89"/>
    <w:rsid w:val="00633B05"/>
    <w:rsid w:val="00634E38"/>
    <w:rsid w:val="0063513F"/>
    <w:rsid w:val="0064322E"/>
    <w:rsid w:val="00652387"/>
    <w:rsid w:val="00655744"/>
    <w:rsid w:val="00655BDC"/>
    <w:rsid w:val="00655BE7"/>
    <w:rsid w:val="00661036"/>
    <w:rsid w:val="00662773"/>
    <w:rsid w:val="006646BF"/>
    <w:rsid w:val="006703D4"/>
    <w:rsid w:val="0067392D"/>
    <w:rsid w:val="00684414"/>
    <w:rsid w:val="00693C86"/>
    <w:rsid w:val="006A3ECE"/>
    <w:rsid w:val="006B3844"/>
    <w:rsid w:val="006E518B"/>
    <w:rsid w:val="00713F57"/>
    <w:rsid w:val="00731C9B"/>
    <w:rsid w:val="00734E2F"/>
    <w:rsid w:val="007538E9"/>
    <w:rsid w:val="00772A53"/>
    <w:rsid w:val="00775F31"/>
    <w:rsid w:val="00776E49"/>
    <w:rsid w:val="0079105F"/>
    <w:rsid w:val="00791134"/>
    <w:rsid w:val="007B7417"/>
    <w:rsid w:val="007D12F3"/>
    <w:rsid w:val="007D2506"/>
    <w:rsid w:val="007F11AE"/>
    <w:rsid w:val="00853E21"/>
    <w:rsid w:val="00870A63"/>
    <w:rsid w:val="008902F9"/>
    <w:rsid w:val="008937FA"/>
    <w:rsid w:val="008B1FD1"/>
    <w:rsid w:val="008C3174"/>
    <w:rsid w:val="008D2F91"/>
    <w:rsid w:val="008D3A10"/>
    <w:rsid w:val="00905183"/>
    <w:rsid w:val="00911BD5"/>
    <w:rsid w:val="00917CF0"/>
    <w:rsid w:val="00924519"/>
    <w:rsid w:val="00933D50"/>
    <w:rsid w:val="00946C42"/>
    <w:rsid w:val="0095635C"/>
    <w:rsid w:val="0097231C"/>
    <w:rsid w:val="009906AC"/>
    <w:rsid w:val="009943E8"/>
    <w:rsid w:val="00996E43"/>
    <w:rsid w:val="009A028F"/>
    <w:rsid w:val="009A4FF3"/>
    <w:rsid w:val="009A5681"/>
    <w:rsid w:val="009D06B3"/>
    <w:rsid w:val="00A1606F"/>
    <w:rsid w:val="00A20204"/>
    <w:rsid w:val="00A20613"/>
    <w:rsid w:val="00A25CEA"/>
    <w:rsid w:val="00A27514"/>
    <w:rsid w:val="00A54E8D"/>
    <w:rsid w:val="00A666D8"/>
    <w:rsid w:val="00A774FB"/>
    <w:rsid w:val="00A86123"/>
    <w:rsid w:val="00AB1091"/>
    <w:rsid w:val="00AB4C71"/>
    <w:rsid w:val="00AD508F"/>
    <w:rsid w:val="00AD7E65"/>
    <w:rsid w:val="00AF39DD"/>
    <w:rsid w:val="00B12BCE"/>
    <w:rsid w:val="00B15202"/>
    <w:rsid w:val="00B32D47"/>
    <w:rsid w:val="00B71925"/>
    <w:rsid w:val="00B82A55"/>
    <w:rsid w:val="00B900DC"/>
    <w:rsid w:val="00B92F40"/>
    <w:rsid w:val="00B9611D"/>
    <w:rsid w:val="00BA00CF"/>
    <w:rsid w:val="00BB5AB0"/>
    <w:rsid w:val="00BB63D1"/>
    <w:rsid w:val="00BB6D04"/>
    <w:rsid w:val="00BD3E58"/>
    <w:rsid w:val="00BE275F"/>
    <w:rsid w:val="00BE4D36"/>
    <w:rsid w:val="00C26EFA"/>
    <w:rsid w:val="00C360E5"/>
    <w:rsid w:val="00C448DD"/>
    <w:rsid w:val="00C51016"/>
    <w:rsid w:val="00C5442A"/>
    <w:rsid w:val="00C7659A"/>
    <w:rsid w:val="00C806A3"/>
    <w:rsid w:val="00C82525"/>
    <w:rsid w:val="00CB092D"/>
    <w:rsid w:val="00CC04EC"/>
    <w:rsid w:val="00CC0DD0"/>
    <w:rsid w:val="00CD254A"/>
    <w:rsid w:val="00CE54E0"/>
    <w:rsid w:val="00CF15CA"/>
    <w:rsid w:val="00CF3FA8"/>
    <w:rsid w:val="00D011EE"/>
    <w:rsid w:val="00D07398"/>
    <w:rsid w:val="00D21332"/>
    <w:rsid w:val="00D248A1"/>
    <w:rsid w:val="00D628B4"/>
    <w:rsid w:val="00D73060"/>
    <w:rsid w:val="00D74C72"/>
    <w:rsid w:val="00D81D58"/>
    <w:rsid w:val="00D923C8"/>
    <w:rsid w:val="00D92D31"/>
    <w:rsid w:val="00D93CA1"/>
    <w:rsid w:val="00D9749E"/>
    <w:rsid w:val="00DC308A"/>
    <w:rsid w:val="00DF2599"/>
    <w:rsid w:val="00E1214D"/>
    <w:rsid w:val="00E16471"/>
    <w:rsid w:val="00E17DF4"/>
    <w:rsid w:val="00E70B24"/>
    <w:rsid w:val="00E713F5"/>
    <w:rsid w:val="00E93884"/>
    <w:rsid w:val="00EB059D"/>
    <w:rsid w:val="00EB6A28"/>
    <w:rsid w:val="00EB6F55"/>
    <w:rsid w:val="00ED4AEA"/>
    <w:rsid w:val="00EF4FBA"/>
    <w:rsid w:val="00F14E6B"/>
    <w:rsid w:val="00F170EF"/>
    <w:rsid w:val="00F24313"/>
    <w:rsid w:val="00F25990"/>
    <w:rsid w:val="00F353BD"/>
    <w:rsid w:val="00F677A0"/>
    <w:rsid w:val="00F83506"/>
    <w:rsid w:val="00F94B5C"/>
    <w:rsid w:val="00FA0707"/>
    <w:rsid w:val="00FA65D5"/>
    <w:rsid w:val="00F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07FF0"/>
  <w15:chartTrackingRefBased/>
  <w15:docId w15:val="{7AD8B851-F509-4AD2-8C8B-D76E7CF4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22E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22E"/>
    <w:pPr>
      <w:keepNext/>
      <w:keepLines/>
      <w:numPr>
        <w:numId w:val="1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22E"/>
    <w:pPr>
      <w:keepNext/>
      <w:keepLines/>
      <w:numPr>
        <w:ilvl w:val="1"/>
        <w:numId w:val="1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322E"/>
    <w:pPr>
      <w:keepNext/>
      <w:keepLines/>
      <w:numPr>
        <w:ilvl w:val="2"/>
        <w:numId w:val="1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322E"/>
    <w:pPr>
      <w:keepNext/>
      <w:keepLines/>
      <w:numPr>
        <w:ilvl w:val="3"/>
        <w:numId w:val="1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322E"/>
    <w:pPr>
      <w:keepNext/>
      <w:keepLines/>
      <w:numPr>
        <w:ilvl w:val="4"/>
        <w:numId w:val="16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322E"/>
    <w:pPr>
      <w:keepNext/>
      <w:keepLines/>
      <w:numPr>
        <w:ilvl w:val="5"/>
        <w:numId w:val="1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322E"/>
    <w:pPr>
      <w:keepNext/>
      <w:keepLines/>
      <w:numPr>
        <w:ilvl w:val="6"/>
        <w:numId w:val="1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322E"/>
    <w:pPr>
      <w:keepNext/>
      <w:keepLines/>
      <w:numPr>
        <w:ilvl w:val="7"/>
        <w:numId w:val="1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322E"/>
    <w:pPr>
      <w:keepNext/>
      <w:keepLines/>
      <w:numPr>
        <w:ilvl w:val="8"/>
        <w:numId w:val="1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22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64322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322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322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322E"/>
    <w:rPr>
      <w:rFonts w:asciiTheme="majorHAnsi" w:eastAsiaTheme="majorEastAsia" w:hAnsiTheme="majorHAnsi" w:cstheme="majorBidi"/>
      <w:color w:val="000000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322E"/>
    <w:rPr>
      <w:rFonts w:asciiTheme="majorHAnsi" w:eastAsiaTheme="majorEastAsia" w:hAnsiTheme="majorHAnsi" w:cstheme="majorBidi"/>
      <w:i/>
      <w:iCs/>
      <w:color w:val="000000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32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32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32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432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322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322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64322E"/>
    <w:rPr>
      <w:color w:val="5A5A5A" w:themeColor="text1" w:themeTint="A5"/>
      <w:spacing w:val="10"/>
    </w:rPr>
  </w:style>
  <w:style w:type="paragraph" w:styleId="Cytat">
    <w:name w:val="Quote"/>
    <w:basedOn w:val="Normalny"/>
    <w:next w:val="Normalny"/>
    <w:link w:val="CytatZnak"/>
    <w:uiPriority w:val="29"/>
    <w:qFormat/>
    <w:rsid w:val="0064322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64322E"/>
    <w:rPr>
      <w:i/>
      <w:iCs/>
      <w:color w:val="000000" w:themeColor="text1"/>
    </w:rPr>
  </w:style>
  <w:style w:type="paragraph" w:styleId="Akapitzlist">
    <w:name w:val="List Paragraph"/>
    <w:basedOn w:val="Normalny"/>
    <w:uiPriority w:val="34"/>
    <w:qFormat/>
    <w:rsid w:val="000923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322E"/>
    <w:rPr>
      <w:b/>
      <w:bCs/>
      <w:i/>
      <w:iCs/>
      <w:cap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322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322E"/>
    <w:rPr>
      <w:color w:val="000000" w:themeColor="text1"/>
      <w:shd w:val="clear" w:color="auto" w:fill="F2F2F2" w:themeFill="background1" w:themeFillShade="F2"/>
    </w:rPr>
  </w:style>
  <w:style w:type="character" w:styleId="Odwoanieintensywne">
    <w:name w:val="Intense Reference"/>
    <w:basedOn w:val="Domylnaczcionkaakapitu"/>
    <w:uiPriority w:val="32"/>
    <w:qFormat/>
    <w:rsid w:val="0064322E"/>
    <w:rPr>
      <w:b/>
      <w:bCs/>
      <w:smallCaps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1AE"/>
  </w:style>
  <w:style w:type="paragraph" w:styleId="Stopka">
    <w:name w:val="footer"/>
    <w:basedOn w:val="Normalny"/>
    <w:link w:val="StopkaZnak"/>
    <w:uiPriority w:val="99"/>
    <w:unhideWhenUsed/>
    <w:rsid w:val="007F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1AE"/>
  </w:style>
  <w:style w:type="paragraph" w:styleId="Listapunktowana">
    <w:name w:val="List Bullet"/>
    <w:basedOn w:val="Normalny"/>
    <w:autoRedefine/>
    <w:uiPriority w:val="99"/>
    <w:unhideWhenUsed/>
    <w:rsid w:val="00E93884"/>
    <w:pPr>
      <w:numPr>
        <w:numId w:val="1"/>
      </w:numPr>
      <w:tabs>
        <w:tab w:val="clear" w:pos="360"/>
        <w:tab w:val="num" w:pos="196"/>
      </w:tabs>
      <w:spacing w:before="120" w:after="0" w:line="240" w:lineRule="auto"/>
      <w:ind w:left="357" w:hanging="357"/>
    </w:pPr>
    <w:rPr>
      <w:rFonts w:cs="Arial"/>
      <w:color w:val="C79757" w:themeColor="accent1"/>
      <w:sz w:val="28"/>
      <w:szCs w:val="28"/>
      <w:lang w:val="en-GB"/>
    </w:rPr>
  </w:style>
  <w:style w:type="paragraph" w:customStyle="1" w:styleId="Funktion">
    <w:name w:val="Funktion"/>
    <w:basedOn w:val="Normalny"/>
    <w:next w:val="Normalny"/>
    <w:rsid w:val="006646BF"/>
    <w:pPr>
      <w:spacing w:after="0" w:line="240" w:lineRule="auto"/>
    </w:pPr>
    <w:rPr>
      <w:color w:val="000000" w:themeColor="text1"/>
      <w:sz w:val="16"/>
    </w:rPr>
  </w:style>
  <w:style w:type="character" w:styleId="Hipercze">
    <w:name w:val="Hyperlink"/>
    <w:basedOn w:val="Domylnaczcionkaakapitu"/>
    <w:uiPriority w:val="99"/>
    <w:unhideWhenUsed/>
    <w:rsid w:val="00D92D31"/>
    <w:rPr>
      <w:color w:val="C79757" w:themeColor="hyperlink"/>
      <w:u w:val="single"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D92D3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4322E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64322E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322E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64322E"/>
    <w:rPr>
      <w:i/>
      <w:iCs/>
      <w:color w:val="auto"/>
    </w:rPr>
  </w:style>
  <w:style w:type="character" w:styleId="Wyrnieniedelikatne">
    <w:name w:val="Subtle Emphasis"/>
    <w:basedOn w:val="Domylnaczcionkaakapitu"/>
    <w:uiPriority w:val="19"/>
    <w:qFormat/>
    <w:rsid w:val="0064322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64322E"/>
    <w:rPr>
      <w:smallCaps/>
      <w:color w:val="404040" w:themeColor="text1" w:themeTint="BF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4322E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22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19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19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19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92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7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.jordan@contrust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mila.tarmas-bilmin@tmdfriction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TMDFriction_Branding202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C79757"/>
      </a:accent1>
      <a:accent2>
        <a:srgbClr val="D34C3D"/>
      </a:accent2>
      <a:accent3>
        <a:srgbClr val="2A7EC8"/>
      </a:accent3>
      <a:accent4>
        <a:srgbClr val="38BA74"/>
      </a:accent4>
      <a:accent5>
        <a:srgbClr val="E38D83"/>
      </a:accent5>
      <a:accent6>
        <a:srgbClr val="92D993"/>
      </a:accent6>
      <a:hlink>
        <a:srgbClr val="C79757"/>
      </a:hlink>
      <a:folHlink>
        <a:srgbClr val="82B5E4"/>
      </a:folHlink>
    </a:clrScheme>
    <a:fontScheme name="TMDFriction_Brand2025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1095</Words>
  <Characters>6574</Characters>
  <Application>Microsoft Office Word</Application>
  <DocSecurity>0</DocSecurity>
  <Lines>54</Lines>
  <Paragraphs>15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LEVOL6107 - Bettina.Bruechert</dc:creator>
  <cp:keywords/>
  <dc:description/>
  <cp:lastModifiedBy>Krzysztof  Jordan</cp:lastModifiedBy>
  <cp:revision>5</cp:revision>
  <dcterms:created xsi:type="dcterms:W3CDTF">2026-01-08T10:57:00Z</dcterms:created>
  <dcterms:modified xsi:type="dcterms:W3CDTF">2026-02-03T13:49:00Z</dcterms:modified>
</cp:coreProperties>
</file>