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The value of Australia's residential construction sector will grow by over 16% until 2029</w:t>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government has already committed to investing more than AUD 32 billion to boost housing construction in the country, with the aim of building more than 1.2 million homes by 2029.</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has confirmed its role as a strategic partner, thanks to its international expertise, in the development of residential construction projects. It recently participated in a project to build a new executive mansion in Attadele, Perth.</w:t>
      </w:r>
    </w:p>
    <w:p w:rsidR="00000000" w:rsidDel="00000000" w:rsidP="00000000" w:rsidRDefault="00000000" w:rsidRPr="00000000" w14:paraId="00000004">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Investment in the development of more sustainable projects and social housing construction will account for a large part of public and private investment in the sector until 2029.</w:t>
      </w:r>
      <w:r w:rsidDel="00000000" w:rsidR="00000000" w:rsidRPr="00000000">
        <w:rPr>
          <w:rtl w:val="0"/>
        </w:rPr>
      </w:r>
    </w:p>
    <w:p w:rsidR="00000000" w:rsidDel="00000000" w:rsidP="00000000" w:rsidRDefault="00000000" w:rsidRPr="00000000" w14:paraId="00000005">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residential construction sector in Australia continues to consolidate its growth in recent years. According to forecasts by Master Builders Australia (MBA), the value of work in the sector will increase by 16.4% in 2029 compared to the previous five-year period. In addition, the government has committed to investing more than AUD 32 billion over this period, with the aim of boosting the construction of 1.2 million homes by mid-2029 as part of its National Housing Accord.</w:t>
      </w:r>
    </w:p>
    <w:p w:rsidR="00000000" w:rsidDel="00000000" w:rsidP="00000000" w:rsidRDefault="00000000" w:rsidRPr="00000000" w14:paraId="00000006">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Although 2025 was already a year of clear recovery for the sector, with new housing starts showing an 11.6% year-on-year increase at the end of 2025 according to the Australian Bureau of Statistics (ABS), the Government's commitment to deliver 1.2 million homes over the next four years is expected to give the sector a further boost. In fact, according to the National Housing Supply and Affordability Council (NHSAC), which reports to the Federal Government, the period between 2027 and 2029 is expected to see the construction of more than 220,000 new homes per year.</w:t>
      </w:r>
      <w:r w:rsidDel="00000000" w:rsidR="00000000" w:rsidRPr="00000000">
        <w:rPr>
          <w:rtl w:val="0"/>
        </w:rPr>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scenario of sustained growth in the construction sector and the development of large infrastructure projects, Sarens, world leader in heavy lifting, special transport, and crane rental services, is positioning itself as a key strategic partner for the execution of highly complex technical projects. The company offers its customers a wide and diversified fleet of state-of-the-art cranes and modular transport solutions capable of adapting to the most demanding requirements, even in environments with significant logistical or technical constraints. This is complemented by a highly specialized team with a solid track record in the planning and execution of large-scale operations, ensuring the highest standards of safety, efficiency, and reliability in every project.</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Recently, Sarens has undertaken a project on behalf of its client Golden Triangle Construction Group PTY LTD, participating in the construction of a new executive mansion in Attadale, Perth WA. For this project, Sarens has carried out the heavy lifting and placement of various materials required for the construction, such as pallets of cement and bags of brickie sand, weighing 1.5 tons and reaching a height of 12 meters.</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machinery selected to undertake the project was the Terex AT-22 Franna mobile crane, which has a capacity of up to 22 tons. This equipment was chosen because it combines versatility, robustness, and ease of operation in industrial and construction environments. It is designed to lift, transport, and position loads without the need for stabilizers, making it particularly efficient in confined spaces.</w:t>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Thanks to its extensive fleet, Sarens was able to deliver equipment at short notice. In this particular case, the crane was provided in record time, as it was requested the day before. The Frannas crane is certified for road use, so no additional transport is required to move it from the Sarens yard to the job site. It also does not require assembly. In just four hours, the Sarens team completed the job, including picking up, lifting, moving, extending the boom, and placing the construction materials. To carry out this operation, a Sarens crane operator traveled to the site accompanied by the customer's riggers. </w:t>
      </w:r>
      <w:r w:rsidDel="00000000" w:rsidR="00000000" w:rsidRPr="00000000">
        <w:rPr>
          <w:rtl w:val="0"/>
        </w:rPr>
      </w:r>
    </w:p>
    <w:p w:rsidR="00000000" w:rsidDel="00000000" w:rsidP="00000000" w:rsidRDefault="00000000" w:rsidRPr="00000000" w14:paraId="0000000B">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Public investment in the residential construction sector is already one of the most significant in the country, although it still lags behind transport, which already accounts for 53% of all public capital with more than AUD 129 billion. The need to tackle more sustainable projects – investment in public services and electricity networks, in this regard, already exceeds  AUD 36 billion – and the construction of social housing are now the two main drivers behind this growth in investment.  </w:t>
      </w:r>
    </w:p>
    <w:p w:rsidR="00000000" w:rsidDel="00000000" w:rsidP="00000000" w:rsidRDefault="00000000" w:rsidRPr="00000000" w14:paraId="0000000C">
      <w:pPr>
        <w:jc w:val="both"/>
        <w:rPr>
          <w:rFonts w:ascii="Calibri" w:cs="Calibri" w:eastAsia="Calibri" w:hAnsi="Calibri"/>
          <w:b w:val="1"/>
          <w:bCs w:val="1"/>
          <w:color w:val="073763"/>
        </w:rPr>
      </w:pPr>
      <w:r w:rsidDel="00000000" w:rsidR="00000000" w:rsidRPr="00000000">
        <w:rPr>
          <w:rFonts w:ascii="Calibri" w:cs="Calibri" w:eastAsia="Calibri" w:hAnsi="Calibri"/>
          <w:color w:val="002060"/>
          <w:rtl w:val="0"/>
        </w:rPr>
        <w:t xml:space="preserve">Sarens has extensive experience in the development of projects of strategic importance for Australia. It has participated in the Botany Rail between Mascot and Botany duplication works carried out by the Australian Rail Track Corporation (ARTC), or in the construction of the expansion of the Cockburn Cement plant in Kwinana, among others.</w:t>
      </w: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color w:val="073763"/>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F">
      <w:pPr>
        <w:rPr>
          <w:rFonts w:ascii="Calibri" w:cs="Calibri" w:eastAsia="Calibri" w:hAnsi="Calibri"/>
          <w:b w:val="1"/>
          <w:bCs w:val="1"/>
          <w:color w:val="073763"/>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3">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40" w:before="24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ind w:hanging="2"/>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59585" cy="412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9585" cy="4127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