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3F5381DB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0C2B5A">
        <w:rPr>
          <w:color w:val="000000"/>
        </w:rPr>
        <w:t>30</w:t>
      </w:r>
      <w:r w:rsidR="00EA757B">
        <w:rPr>
          <w:color w:val="000000"/>
        </w:rPr>
        <w:t>.0</w:t>
      </w:r>
      <w:r w:rsidR="000C2B5A">
        <w:rPr>
          <w:color w:val="000000"/>
        </w:rPr>
        <w:t>1</w:t>
      </w:r>
      <w:r w:rsidRPr="00164DBA">
        <w:rPr>
          <w:color w:val="000000"/>
        </w:rPr>
        <w:t>.202</w:t>
      </w:r>
      <w:r w:rsidR="00EA757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7445F3D8" w14:textId="3346339A" w:rsidR="0089506E" w:rsidRPr="0089506E" w:rsidRDefault="00AB4305" w:rsidP="0089506E">
      <w:pPr>
        <w:jc w:val="both"/>
        <w:rPr>
          <w:b/>
          <w:bCs/>
        </w:rPr>
      </w:pPr>
      <w:r w:rsidRPr="00AB4305">
        <w:rPr>
          <w:rFonts w:eastAsia="Times New Roman"/>
          <w:b/>
          <w:bCs/>
          <w:color w:val="auto"/>
          <w:sz w:val="28"/>
          <w:szCs w:val="28"/>
        </w:rPr>
        <w:t xml:space="preserve">BIG InfoMonitor: </w:t>
      </w:r>
      <w:r w:rsidR="00A13460">
        <w:rPr>
          <w:rFonts w:eastAsia="Times New Roman"/>
          <w:b/>
          <w:bCs/>
          <w:color w:val="auto"/>
          <w:sz w:val="28"/>
          <w:szCs w:val="28"/>
        </w:rPr>
        <w:t>Usługa</w:t>
      </w:r>
      <w:r w:rsidR="00346746">
        <w:rPr>
          <w:rFonts w:eastAsia="Times New Roman"/>
          <w:b/>
          <w:bCs/>
          <w:color w:val="auto"/>
          <w:sz w:val="28"/>
          <w:szCs w:val="28"/>
        </w:rPr>
        <w:t xml:space="preserve"> „bez kwitu”</w:t>
      </w:r>
      <w:r w:rsidR="006C6814" w:rsidRPr="006C6814">
        <w:rPr>
          <w:rFonts w:eastAsia="Times New Roman"/>
          <w:b/>
          <w:bCs/>
          <w:color w:val="auto"/>
          <w:sz w:val="28"/>
          <w:szCs w:val="28"/>
        </w:rPr>
        <w:t xml:space="preserve">? </w:t>
      </w:r>
      <w:r w:rsidR="00576219">
        <w:rPr>
          <w:rFonts w:eastAsia="Times New Roman"/>
          <w:b/>
          <w:bCs/>
          <w:color w:val="auto"/>
          <w:sz w:val="28"/>
          <w:szCs w:val="28"/>
        </w:rPr>
        <w:t>Co ósma</w:t>
      </w:r>
      <w:r w:rsidR="00F04C90">
        <w:rPr>
          <w:rFonts w:eastAsia="Times New Roman"/>
          <w:b/>
          <w:bCs/>
          <w:color w:val="auto"/>
          <w:sz w:val="28"/>
          <w:szCs w:val="28"/>
        </w:rPr>
        <w:t xml:space="preserve"> nieetyczna</w:t>
      </w:r>
      <w:r w:rsidR="00576219">
        <w:rPr>
          <w:rFonts w:eastAsia="Times New Roman"/>
          <w:b/>
          <w:bCs/>
          <w:color w:val="auto"/>
          <w:sz w:val="28"/>
          <w:szCs w:val="28"/>
        </w:rPr>
        <w:t xml:space="preserve"> transakcja może pogłębiać spiralę </w:t>
      </w:r>
      <w:r w:rsidR="00E058C4">
        <w:rPr>
          <w:rFonts w:eastAsia="Times New Roman"/>
          <w:b/>
          <w:bCs/>
          <w:color w:val="auto"/>
          <w:sz w:val="28"/>
          <w:szCs w:val="28"/>
        </w:rPr>
        <w:t>zaległości</w:t>
      </w:r>
    </w:p>
    <w:p w14:paraId="465B85BB" w14:textId="67D14A71" w:rsidR="000F5E42" w:rsidRDefault="000F5E42" w:rsidP="00FE3FE9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0F5E42">
        <w:rPr>
          <w:rFonts w:ascii="Calibri" w:eastAsia="Calibri" w:hAnsi="Calibri" w:cs="Calibri"/>
          <w:b/>
          <w:bCs/>
          <w:color w:val="161616"/>
        </w:rPr>
        <w:t>Ferie zimowe to czas, w którym chętnie korzystamy z uroków kurortów, wypożyczamy sprzęt narciarski</w:t>
      </w:r>
      <w:r w:rsidR="00A13460">
        <w:rPr>
          <w:rFonts w:ascii="Calibri" w:eastAsia="Calibri" w:hAnsi="Calibri" w:cs="Calibri"/>
          <w:b/>
          <w:bCs/>
          <w:color w:val="161616"/>
        </w:rPr>
        <w:t>,</w:t>
      </w:r>
      <w:r w:rsidR="00357151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0F5E42">
        <w:rPr>
          <w:rFonts w:ascii="Calibri" w:eastAsia="Calibri" w:hAnsi="Calibri" w:cs="Calibri"/>
          <w:b/>
          <w:bCs/>
          <w:color w:val="161616"/>
        </w:rPr>
        <w:t>kupujemy lokalne produkty na targowiskach</w:t>
      </w:r>
      <w:r w:rsidR="001B19E9">
        <w:rPr>
          <w:rFonts w:ascii="Calibri" w:eastAsia="Calibri" w:hAnsi="Calibri" w:cs="Calibri"/>
          <w:b/>
          <w:bCs/>
          <w:color w:val="161616"/>
        </w:rPr>
        <w:t xml:space="preserve"> i korzystamy z regionalnej kuchni</w:t>
      </w:r>
      <w:r w:rsidRPr="000F5E42">
        <w:rPr>
          <w:rFonts w:ascii="Calibri" w:eastAsia="Calibri" w:hAnsi="Calibri" w:cs="Calibri"/>
          <w:b/>
          <w:bCs/>
          <w:color w:val="161616"/>
        </w:rPr>
        <w:t xml:space="preserve">. Ta beztroska atmosfera sprzyja jednak specyficznym zachowaniom finansowym, ponieważ w momentach płatności za serwis nart czy drobne pamiątki często pojawia się propozycja rozliczenia bez paragonu. Jak wynika z </w:t>
      </w:r>
      <w:r w:rsidR="00A418AB">
        <w:rPr>
          <w:rFonts w:ascii="Calibri" w:eastAsia="Calibri" w:hAnsi="Calibri" w:cs="Calibri"/>
          <w:b/>
          <w:bCs/>
          <w:color w:val="161616"/>
        </w:rPr>
        <w:t>R</w:t>
      </w:r>
      <w:r w:rsidR="00A418AB" w:rsidRPr="000F5E42">
        <w:rPr>
          <w:rFonts w:ascii="Calibri" w:eastAsia="Calibri" w:hAnsi="Calibri" w:cs="Calibri"/>
          <w:b/>
          <w:bCs/>
          <w:color w:val="161616"/>
        </w:rPr>
        <w:t xml:space="preserve">aportu </w:t>
      </w:r>
      <w:r w:rsidRPr="000F5E42">
        <w:rPr>
          <w:rFonts w:ascii="Calibri" w:eastAsia="Calibri" w:hAnsi="Calibri" w:cs="Calibri"/>
          <w:b/>
          <w:bCs/>
          <w:color w:val="161616"/>
        </w:rPr>
        <w:t>„Kultura finansowa Polaków” przygotowanego przez BIG InfoMonitor i BIK, w takich sytuacjach nawet co ósma transakcja może odbywać się poza oficjalnym obiegiem finansowym. Dane te pokazują, że nasza deklarowana etyka płatnicza „w praktyce” ustępuje miejsca tzw. etyce użytkowej, co w szerszej skali wpływa na kondycję finansową przedsiębiorców</w:t>
      </w:r>
      <w:r w:rsidRPr="00487502">
        <w:rPr>
          <w:rFonts w:asciiTheme="minorHAnsi" w:eastAsia="Calibri" w:hAnsiTheme="minorHAnsi" w:cstheme="minorHAnsi"/>
          <w:b/>
          <w:bCs/>
          <w:color w:val="161616"/>
        </w:rPr>
        <w:t>.</w:t>
      </w:r>
      <w:r w:rsidR="00487502">
        <w:rPr>
          <w:rFonts w:asciiTheme="minorHAnsi" w:hAnsiTheme="minorHAnsi" w:cstheme="minorHAnsi"/>
          <w:b/>
          <w:bCs/>
        </w:rPr>
        <w:t xml:space="preserve"> </w:t>
      </w:r>
      <w:r w:rsidR="002C6855" w:rsidRPr="00487502">
        <w:rPr>
          <w:rFonts w:asciiTheme="minorHAnsi" w:hAnsiTheme="minorHAnsi" w:cstheme="minorHAnsi"/>
          <w:b/>
          <w:bCs/>
        </w:rPr>
        <w:t>Jest też druga strona medalu</w:t>
      </w:r>
      <w:r w:rsidR="002C6855">
        <w:t xml:space="preserve"> - </w:t>
      </w:r>
      <w:r w:rsidR="002C6855">
        <w:rPr>
          <w:rFonts w:ascii="Calibri" w:eastAsia="Calibri" w:hAnsi="Calibri" w:cs="Calibri"/>
          <w:b/>
          <w:bCs/>
          <w:color w:val="161616"/>
        </w:rPr>
        <w:t>a</w:t>
      </w:r>
      <w:r w:rsidR="002C6855" w:rsidRPr="002C6855">
        <w:rPr>
          <w:rFonts w:ascii="Calibri" w:eastAsia="Calibri" w:hAnsi="Calibri" w:cs="Calibri"/>
          <w:b/>
          <w:bCs/>
          <w:color w:val="161616"/>
        </w:rPr>
        <w:t>ż 32</w:t>
      </w:r>
      <w:r w:rsidR="002C6855">
        <w:rPr>
          <w:rFonts w:ascii="Calibri" w:eastAsia="Calibri" w:hAnsi="Calibri" w:cs="Calibri"/>
          <w:b/>
          <w:bCs/>
          <w:color w:val="161616"/>
        </w:rPr>
        <w:t xml:space="preserve"> proc.</w:t>
      </w:r>
      <w:r w:rsidR="002C6855" w:rsidRPr="002C6855">
        <w:rPr>
          <w:rFonts w:ascii="Calibri" w:eastAsia="Calibri" w:hAnsi="Calibri" w:cs="Calibri"/>
          <w:b/>
          <w:bCs/>
          <w:color w:val="161616"/>
        </w:rPr>
        <w:t xml:space="preserve"> firm usługowych spotkało się z propozycją transakcji bez faktury w zamian za </w:t>
      </w:r>
      <w:r w:rsidR="00A418AB">
        <w:rPr>
          <w:rFonts w:ascii="Calibri" w:eastAsia="Calibri" w:hAnsi="Calibri" w:cs="Calibri"/>
          <w:b/>
          <w:bCs/>
          <w:color w:val="161616"/>
        </w:rPr>
        <w:t>obniżkę</w:t>
      </w:r>
      <w:r w:rsidR="00A418AB" w:rsidRPr="002C6855">
        <w:rPr>
          <w:rFonts w:ascii="Calibri" w:eastAsia="Calibri" w:hAnsi="Calibri" w:cs="Calibri"/>
          <w:b/>
          <w:bCs/>
          <w:color w:val="161616"/>
        </w:rPr>
        <w:t xml:space="preserve"> </w:t>
      </w:r>
      <w:r w:rsidR="002C6855" w:rsidRPr="002C6855">
        <w:rPr>
          <w:rFonts w:ascii="Calibri" w:eastAsia="Calibri" w:hAnsi="Calibri" w:cs="Calibri"/>
          <w:b/>
          <w:bCs/>
          <w:color w:val="161616"/>
        </w:rPr>
        <w:t>cen</w:t>
      </w:r>
      <w:r w:rsidR="00A418AB">
        <w:rPr>
          <w:rFonts w:ascii="Calibri" w:eastAsia="Calibri" w:hAnsi="Calibri" w:cs="Calibri"/>
          <w:b/>
          <w:bCs/>
          <w:color w:val="161616"/>
        </w:rPr>
        <w:t>y</w:t>
      </w:r>
      <w:r w:rsidR="002C6855">
        <w:rPr>
          <w:rFonts w:ascii="Calibri" w:eastAsia="Calibri" w:hAnsi="Calibri" w:cs="Calibri"/>
          <w:b/>
          <w:bCs/>
          <w:color w:val="161616"/>
        </w:rPr>
        <w:t>.</w:t>
      </w:r>
    </w:p>
    <w:p w14:paraId="120B0412" w14:textId="77777777" w:rsidR="00A13460" w:rsidRDefault="00A13460" w:rsidP="00FE3FE9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</w:p>
    <w:p w14:paraId="13D6C8EB" w14:textId="27D23582" w:rsidR="00FE3FE9" w:rsidRDefault="00FE3FE9" w:rsidP="00FE3FE9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2D0D24DF" w14:textId="1FC42CCE" w:rsidR="00FE3FE9" w:rsidRPr="00FE3FE9" w:rsidRDefault="00FE3FE9" w:rsidP="00FE3FE9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12 proc.</w:t>
      </w:r>
      <w:r w:rsidRPr="00FE3FE9">
        <w:rPr>
          <w:rFonts w:ascii="Calibri" w:eastAsia="Calibri" w:hAnsi="Calibri" w:cs="Calibri"/>
          <w:b/>
          <w:bCs/>
          <w:color w:val="161616"/>
        </w:rPr>
        <w:t xml:space="preserve"> konsumentów otwarcie przyznaje się do sugerowania usługodawcom obniżki ceny w zamian za brak paragonu lub faktury</w:t>
      </w:r>
      <w:r w:rsidR="00F81825">
        <w:rPr>
          <w:rFonts w:ascii="Calibri" w:eastAsia="Calibri" w:hAnsi="Calibri" w:cs="Calibri"/>
          <w:b/>
          <w:bCs/>
          <w:color w:val="161616"/>
        </w:rPr>
        <w:t>;</w:t>
      </w:r>
      <w:r w:rsidRPr="00FE3FE9"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46E58148" w14:textId="0F87F1C9" w:rsidR="00FE3FE9" w:rsidRPr="00FE3FE9" w:rsidRDefault="00FE3FE9" w:rsidP="00FE3FE9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E3FE9">
        <w:rPr>
          <w:rFonts w:ascii="Calibri" w:eastAsia="Calibri" w:hAnsi="Calibri" w:cs="Calibri"/>
          <w:b/>
          <w:bCs/>
          <w:color w:val="161616"/>
        </w:rPr>
        <w:t xml:space="preserve">Zaległe zadłużenie sektora handlu prowadzonego na straganach i targowiskach (PKD 47.81.Z) sięgnęło 48,6 mln zł i wzrosło w ciągu roku o </w:t>
      </w:r>
      <w:r w:rsidR="0086686F">
        <w:rPr>
          <w:rFonts w:ascii="Calibri" w:eastAsia="Calibri" w:hAnsi="Calibri" w:cs="Calibri"/>
          <w:b/>
          <w:bCs/>
          <w:color w:val="161616"/>
        </w:rPr>
        <w:t>27,1 proc.</w:t>
      </w:r>
      <w:r w:rsidR="00F81825">
        <w:rPr>
          <w:rFonts w:ascii="Calibri" w:eastAsia="Calibri" w:hAnsi="Calibri" w:cs="Calibri"/>
          <w:b/>
          <w:bCs/>
          <w:color w:val="161616"/>
        </w:rPr>
        <w:t>;</w:t>
      </w:r>
      <w:r w:rsidRPr="00FE3FE9"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502AF422" w14:textId="6D53529B" w:rsidR="00FE3FE9" w:rsidRPr="00FE3FE9" w:rsidRDefault="00FE3FE9" w:rsidP="00FE3FE9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E3FE9">
        <w:rPr>
          <w:rFonts w:ascii="Calibri" w:eastAsia="Calibri" w:hAnsi="Calibri" w:cs="Calibri"/>
          <w:b/>
          <w:bCs/>
          <w:color w:val="161616"/>
        </w:rPr>
        <w:t>Wypożyczalnie sprzętu rekreacyjnego i sportowego (PKD 77.21.Z), w tym punkty oferujące narty i deski narciarskie, mają do spłacenia 46,6 mln zł zaległych zobowiązań</w:t>
      </w:r>
      <w:r w:rsidR="00F81825">
        <w:rPr>
          <w:rFonts w:ascii="Calibri" w:eastAsia="Calibri" w:hAnsi="Calibri" w:cs="Calibri"/>
          <w:b/>
          <w:bCs/>
          <w:color w:val="161616"/>
        </w:rPr>
        <w:t>;</w:t>
      </w:r>
      <w:r w:rsidRPr="00FE3FE9"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05CA4F0A" w14:textId="7E7ADCA1" w:rsidR="002C6855" w:rsidRDefault="00FE3FE9" w:rsidP="00FE3FE9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E3FE9">
        <w:rPr>
          <w:rFonts w:ascii="Calibri" w:eastAsia="Calibri" w:hAnsi="Calibri" w:cs="Calibri"/>
          <w:b/>
          <w:bCs/>
          <w:color w:val="161616"/>
        </w:rPr>
        <w:t>Polacy kształtują nowy rodzaj „etyki użytkowej”, w której spryt i doraźna korzyść stają się ważniejsze niż przestrzeganie reguł</w:t>
      </w:r>
      <w:r w:rsidR="006742DF">
        <w:rPr>
          <w:rFonts w:ascii="Calibri" w:eastAsia="Calibri" w:hAnsi="Calibri" w:cs="Calibri"/>
          <w:b/>
          <w:bCs/>
          <w:color w:val="161616"/>
        </w:rPr>
        <w:t xml:space="preserve"> i zasad</w:t>
      </w:r>
      <w:r w:rsidR="002C6855">
        <w:rPr>
          <w:rFonts w:ascii="Calibri" w:eastAsia="Calibri" w:hAnsi="Calibri" w:cs="Calibri"/>
          <w:b/>
          <w:bCs/>
          <w:color w:val="161616"/>
        </w:rPr>
        <w:t>;</w:t>
      </w:r>
    </w:p>
    <w:p w14:paraId="58C4839A" w14:textId="2035EB41" w:rsidR="00FE3FE9" w:rsidRPr="0089506E" w:rsidRDefault="002C6855" w:rsidP="00FE3FE9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2C6855">
        <w:rPr>
          <w:rFonts w:ascii="Calibri" w:eastAsia="Calibri" w:hAnsi="Calibri" w:cs="Calibri"/>
          <w:b/>
          <w:bCs/>
          <w:color w:val="161616"/>
        </w:rPr>
        <w:t>Aż 32</w:t>
      </w:r>
      <w:r>
        <w:rPr>
          <w:rFonts w:ascii="Calibri" w:eastAsia="Calibri" w:hAnsi="Calibri" w:cs="Calibri"/>
          <w:b/>
          <w:bCs/>
          <w:color w:val="161616"/>
        </w:rPr>
        <w:t xml:space="preserve"> proc.</w:t>
      </w:r>
      <w:r w:rsidRPr="002C6855">
        <w:rPr>
          <w:rFonts w:ascii="Calibri" w:eastAsia="Calibri" w:hAnsi="Calibri" w:cs="Calibri"/>
          <w:b/>
          <w:bCs/>
          <w:color w:val="161616"/>
        </w:rPr>
        <w:t xml:space="preserve"> firm usługowych spotkało się z propozycją transakcji bez faktury w zamian za </w:t>
      </w:r>
      <w:r w:rsidR="00E44180">
        <w:rPr>
          <w:rFonts w:ascii="Calibri" w:eastAsia="Calibri" w:hAnsi="Calibri" w:cs="Calibri"/>
          <w:b/>
          <w:bCs/>
          <w:color w:val="161616"/>
        </w:rPr>
        <w:t>obniżkę</w:t>
      </w:r>
      <w:r w:rsidR="00E44180" w:rsidRPr="002C6855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2C6855">
        <w:rPr>
          <w:rFonts w:ascii="Calibri" w:eastAsia="Calibri" w:hAnsi="Calibri" w:cs="Calibri"/>
          <w:b/>
          <w:bCs/>
          <w:color w:val="161616"/>
        </w:rPr>
        <w:t>cen</w:t>
      </w:r>
      <w:r w:rsidR="00A13460">
        <w:rPr>
          <w:rFonts w:ascii="Calibri" w:eastAsia="Calibri" w:hAnsi="Calibri" w:cs="Calibri"/>
          <w:b/>
          <w:bCs/>
          <w:color w:val="161616"/>
        </w:rPr>
        <w:t>y</w:t>
      </w:r>
      <w:r>
        <w:rPr>
          <w:rFonts w:ascii="Calibri" w:eastAsia="Calibri" w:hAnsi="Calibri" w:cs="Calibri"/>
          <w:b/>
          <w:bCs/>
          <w:color w:val="161616"/>
        </w:rPr>
        <w:t>.</w:t>
      </w:r>
    </w:p>
    <w:p w14:paraId="5FFE1C81" w14:textId="4B910B1E" w:rsidR="0089506E" w:rsidRPr="00FE3FE9" w:rsidRDefault="0089506E" w:rsidP="008950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Polacy ruszyli na ferie, co dla tysięcy punktów usługowych oznacza kluczowy moment dla zachowania płynności finansowej na </w:t>
      </w:r>
      <w:r w:rsidR="00D51FC0">
        <w:rPr>
          <w:rFonts w:ascii="Calibri" w:eastAsia="Calibri" w:hAnsi="Calibri" w:cs="Calibri"/>
          <w:bCs/>
          <w:color w:val="161616"/>
          <w:sz w:val="22"/>
        </w:rPr>
        <w:t>pierwszą połowę</w:t>
      </w:r>
      <w:r w:rsidR="00D51FC0" w:rsidRPr="00FE3FE9">
        <w:rPr>
          <w:rFonts w:ascii="Calibri" w:eastAsia="Calibri" w:hAnsi="Calibri" w:cs="Calibri"/>
          <w:bCs/>
          <w:color w:val="161616"/>
          <w:sz w:val="22"/>
        </w:rPr>
        <w:t xml:space="preserve"> </w:t>
      </w:r>
      <w:r w:rsidRPr="00FE3FE9">
        <w:rPr>
          <w:rFonts w:ascii="Calibri" w:eastAsia="Calibri" w:hAnsi="Calibri" w:cs="Calibri"/>
          <w:bCs/>
          <w:color w:val="161616"/>
          <w:sz w:val="22"/>
        </w:rPr>
        <w:t>roku. To czas wzmożonej aktywności wypożyczalni oraz punktów handlowych</w:t>
      </w:r>
      <w:r w:rsidR="008B7BED">
        <w:rPr>
          <w:rFonts w:ascii="Calibri" w:eastAsia="Calibri" w:hAnsi="Calibri" w:cs="Calibri"/>
          <w:bCs/>
          <w:color w:val="161616"/>
          <w:sz w:val="22"/>
        </w:rPr>
        <w:t xml:space="preserve"> i gastronomicznych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, które właśnie teraz generują lwią część swoich dochodów. W 2026 roku nad zimowymi wyjazdami unosi się jednak pytanie o nasze postawy finansowe i to, czy rezygnując z paragonu, faktycznie wspieramy lokalny biznes, czy jedynie pogłębiamy jego systemowe </w:t>
      </w:r>
      <w:r w:rsidRPr="00FE3FE9">
        <w:rPr>
          <w:rFonts w:ascii="Calibri" w:eastAsia="Calibri" w:hAnsi="Calibri" w:cs="Calibri"/>
          <w:bCs/>
          <w:color w:val="161616"/>
          <w:sz w:val="22"/>
        </w:rPr>
        <w:lastRenderedPageBreak/>
        <w:t xml:space="preserve">problemy. Jak wynika z </w:t>
      </w:r>
      <w:r w:rsidR="003D0672">
        <w:rPr>
          <w:rFonts w:ascii="Calibri" w:eastAsia="Calibri" w:hAnsi="Calibri" w:cs="Calibri"/>
          <w:bCs/>
          <w:color w:val="161616"/>
          <w:sz w:val="22"/>
        </w:rPr>
        <w:t>raportu</w:t>
      </w:r>
      <w:r w:rsidR="003D0672" w:rsidRPr="00FE3FE9">
        <w:rPr>
          <w:rFonts w:ascii="Calibri" w:eastAsia="Calibri" w:hAnsi="Calibri" w:cs="Calibri"/>
          <w:bCs/>
          <w:color w:val="161616"/>
          <w:sz w:val="22"/>
        </w:rPr>
        <w:t xml:space="preserve"> </w:t>
      </w:r>
      <w:r w:rsidRPr="00FE3FE9">
        <w:rPr>
          <w:rFonts w:ascii="Calibri" w:eastAsia="Calibri" w:hAnsi="Calibri" w:cs="Calibri"/>
          <w:bCs/>
          <w:color w:val="161616"/>
          <w:sz w:val="22"/>
        </w:rPr>
        <w:t>BIG InfoMonitor</w:t>
      </w:r>
      <w:r w:rsidR="003D0672">
        <w:rPr>
          <w:rFonts w:ascii="Calibri" w:eastAsia="Calibri" w:hAnsi="Calibri" w:cs="Calibri"/>
          <w:bCs/>
          <w:color w:val="161616"/>
          <w:sz w:val="22"/>
        </w:rPr>
        <w:t xml:space="preserve"> i BIK o kulturze finansowej Polaków</w:t>
      </w:r>
      <w:r w:rsidRPr="00FE3FE9">
        <w:rPr>
          <w:rFonts w:ascii="Calibri" w:eastAsia="Calibri" w:hAnsi="Calibri" w:cs="Calibri"/>
          <w:bCs/>
          <w:color w:val="161616"/>
          <w:sz w:val="22"/>
        </w:rPr>
        <w:t>, w sytuacjach bezpośredniego kontaktu z usługodawcą nasze zasady stają się wyjątkowo elastyczne.</w:t>
      </w:r>
    </w:p>
    <w:p w14:paraId="32985C21" w14:textId="77777777" w:rsidR="0089506E" w:rsidRPr="00FE3FE9" w:rsidRDefault="0089506E" w:rsidP="008950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2"/>
        </w:rPr>
      </w:pPr>
      <w:r w:rsidRPr="00FE3FE9">
        <w:rPr>
          <w:rFonts w:ascii="Calibri" w:eastAsia="Calibri" w:hAnsi="Calibri" w:cs="Calibri"/>
          <w:b/>
          <w:bCs/>
          <w:color w:val="161616"/>
          <w:sz w:val="22"/>
        </w:rPr>
        <w:t>Solidarność z „małymi” a etyka użytkowa</w:t>
      </w:r>
    </w:p>
    <w:p w14:paraId="1955A214" w14:textId="1CCB25C4" w:rsidR="000F5E42" w:rsidRPr="000F5E42" w:rsidRDefault="000F5E42" w:rsidP="000F5E42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 w:rsidRPr="000F5E42">
        <w:rPr>
          <w:rFonts w:ascii="Calibri" w:eastAsia="Calibri" w:hAnsi="Calibri" w:cs="Calibri"/>
          <w:bCs/>
          <w:color w:val="161616"/>
          <w:sz w:val="22"/>
        </w:rPr>
        <w:t xml:space="preserve">Brak paragonu bywa postrzegany jako społecznie akceptowany układ, szczególnie w relacji z drobnymi usługodawcami. Z raportu „Kultura finansowa Polaków” BIG InfoMonitor i BIK wynika, że 12 proc. konsumentów otwarcie przyznaje się do sugerowania niższej ceny w zamian za brak </w:t>
      </w:r>
      <w:r w:rsidR="00D51FC0">
        <w:rPr>
          <w:rFonts w:ascii="Calibri" w:eastAsia="Calibri" w:hAnsi="Calibri" w:cs="Calibri"/>
          <w:bCs/>
          <w:color w:val="161616"/>
          <w:sz w:val="22"/>
        </w:rPr>
        <w:t xml:space="preserve">potwierdzenia </w:t>
      </w:r>
      <w:r w:rsidRPr="000F5E42">
        <w:rPr>
          <w:rFonts w:ascii="Calibri" w:eastAsia="Calibri" w:hAnsi="Calibri" w:cs="Calibri"/>
          <w:bCs/>
          <w:color w:val="161616"/>
          <w:sz w:val="22"/>
        </w:rPr>
        <w:t>zakupu. Podczas urlopu skłonność do takich ustępstw rośnie, ponieważ nieformalna płatność jest interpretowana jako wyraz wsparcia dla lokalnego biznes</w:t>
      </w:r>
      <w:r>
        <w:rPr>
          <w:rFonts w:ascii="Calibri" w:eastAsia="Calibri" w:hAnsi="Calibri" w:cs="Calibri"/>
          <w:bCs/>
          <w:color w:val="161616"/>
          <w:sz w:val="22"/>
        </w:rPr>
        <w:t>u.</w:t>
      </w:r>
    </w:p>
    <w:p w14:paraId="40193B72" w14:textId="19461149" w:rsidR="000F5E42" w:rsidRPr="000F5E42" w:rsidRDefault="00E25C32" w:rsidP="000F5E42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>
        <w:rPr>
          <w:rFonts w:ascii="Calibri" w:eastAsia="Calibri" w:hAnsi="Calibri" w:cs="Calibri"/>
          <w:bCs/>
          <w:color w:val="161616"/>
          <w:sz w:val="22"/>
        </w:rPr>
        <w:t>Wnioski z raportu</w:t>
      </w:r>
      <w:r w:rsidR="000F5E42" w:rsidRPr="000F5E42">
        <w:rPr>
          <w:rFonts w:ascii="Calibri" w:eastAsia="Calibri" w:hAnsi="Calibri" w:cs="Calibri"/>
          <w:bCs/>
          <w:color w:val="161616"/>
          <w:sz w:val="22"/>
        </w:rPr>
        <w:t xml:space="preserve"> pokazują, że w takich sytuacjach coraz częściej ujawnia się tzw. etyka użytkowa, w której doraźna korzyść i elastyczność w działaniu przeważają nad formalnymi zasadami. Konsumenci akceptują niepełne rozliczenie, uznając je za rozwiąz</w:t>
      </w:r>
      <w:r w:rsidR="000F5E42">
        <w:rPr>
          <w:rFonts w:ascii="Calibri" w:eastAsia="Calibri" w:hAnsi="Calibri" w:cs="Calibri"/>
          <w:bCs/>
          <w:color w:val="161616"/>
          <w:sz w:val="22"/>
        </w:rPr>
        <w:t>anie korzystne dla obu stron.</w:t>
      </w:r>
    </w:p>
    <w:p w14:paraId="5DC0ACF3" w14:textId="02728E16" w:rsidR="000F5E42" w:rsidRPr="000F5E42" w:rsidRDefault="00346746" w:rsidP="000F5E42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>
        <w:rPr>
          <w:rFonts w:ascii="Calibri" w:eastAsia="Calibri" w:hAnsi="Calibri" w:cs="Calibri"/>
          <w:bCs/>
          <w:color w:val="161616"/>
          <w:sz w:val="22"/>
        </w:rPr>
        <w:t>-</w:t>
      </w:r>
      <w:r w:rsidR="000F5E42" w:rsidRPr="000F5E42">
        <w:rPr>
          <w:rFonts w:ascii="Calibri" w:eastAsia="Calibri" w:hAnsi="Calibri" w:cs="Calibri"/>
          <w:bCs/>
          <w:color w:val="161616"/>
          <w:sz w:val="22"/>
        </w:rPr>
        <w:t xml:space="preserve"> </w:t>
      </w:r>
      <w:r w:rsidR="000F5E42" w:rsidRPr="00346746">
        <w:rPr>
          <w:rFonts w:ascii="Calibri" w:eastAsia="Calibri" w:hAnsi="Calibri" w:cs="Calibri"/>
          <w:bCs/>
          <w:i/>
          <w:color w:val="161616"/>
          <w:sz w:val="22"/>
        </w:rPr>
        <w:t>Polacy zaczynają kształtować nowy rodzaj „etyki użytkowej”, w której liczy się efektywność, a nie ścisłe przestrzeganie reguł. Przykładem jest sytuacja, w której klient zgadza się na niższą kwotę na fakturze, a resztę płaci „do ręki”</w:t>
      </w:r>
      <w:r>
        <w:rPr>
          <w:rFonts w:ascii="Calibri" w:eastAsia="Calibri" w:hAnsi="Calibri" w:cs="Calibri"/>
          <w:bCs/>
          <w:color w:val="161616"/>
          <w:sz w:val="22"/>
        </w:rPr>
        <w:t xml:space="preserve"> -</w:t>
      </w:r>
      <w:r w:rsidR="000F5E42" w:rsidRPr="000F5E42">
        <w:rPr>
          <w:rFonts w:ascii="Calibri" w:eastAsia="Calibri" w:hAnsi="Calibri" w:cs="Calibri"/>
          <w:bCs/>
          <w:color w:val="161616"/>
          <w:sz w:val="22"/>
        </w:rPr>
        <w:t xml:space="preserve"> tłumaczy </w:t>
      </w:r>
      <w:r w:rsidR="000F5E42" w:rsidRPr="00346746">
        <w:rPr>
          <w:rFonts w:ascii="Calibri" w:eastAsia="Calibri" w:hAnsi="Calibri" w:cs="Calibri"/>
          <w:b/>
          <w:bCs/>
          <w:color w:val="161616"/>
          <w:sz w:val="22"/>
        </w:rPr>
        <w:t>prof. Katarzyna Sekścińska z Uniwersytetu Warszawskiego.</w:t>
      </w:r>
    </w:p>
    <w:p w14:paraId="58E6E55A" w14:textId="279625BF" w:rsidR="00487502" w:rsidRDefault="00487502" w:rsidP="00487502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 w:rsidRPr="00F04C90">
        <w:rPr>
          <w:rFonts w:ascii="Calibri" w:eastAsia="Calibri" w:hAnsi="Calibri" w:cs="Calibri"/>
          <w:bCs/>
          <w:color w:val="161616"/>
          <w:sz w:val="22"/>
        </w:rPr>
        <w:t xml:space="preserve">Tego rodzaju oczekiwania ze strony klientów przekładają się bezpośrednio na praktykę rynkową firm usługowych. Z perspektywy wielu przedsiębiorców nie są one oceniane w kategoriach nadużycia, lecz jako sposób dostosowania się do realiów sezonowego popytu i presji cenowej. </w:t>
      </w:r>
      <w:r w:rsidR="00F04C90" w:rsidRPr="00F04C90">
        <w:rPr>
          <w:rFonts w:ascii="Calibri" w:eastAsia="Calibri" w:hAnsi="Calibri" w:cs="Calibri"/>
          <w:bCs/>
          <w:color w:val="161616"/>
          <w:sz w:val="22"/>
        </w:rPr>
        <w:t xml:space="preserve"> - </w:t>
      </w:r>
      <w:r w:rsidRPr="00F04C90">
        <w:rPr>
          <w:rFonts w:ascii="Calibri" w:eastAsia="Calibri" w:hAnsi="Calibri" w:cs="Calibri"/>
          <w:bCs/>
          <w:i/>
          <w:iCs/>
          <w:color w:val="161616"/>
          <w:sz w:val="22"/>
        </w:rPr>
        <w:t>Skala zjawiska jest istotna, ponieważ aż 32 proc. firm usługowych deklaruje, że spotkało się z propozycją realizacji transakcji bez faktury w zamian za niższą cenę. Problem pojawia się jednak w momencie, gdy tego typu krótkoterminowe „układy”, choć powszechne i społecznie akceptowane, ograniczają oficjalne przychody i w dłuższej perspektywie osłabiają zdolność firm do terminowego regulowania zobowiązań</w:t>
      </w:r>
      <w:r w:rsidR="00F04C90" w:rsidRPr="00F04C90">
        <w:rPr>
          <w:rFonts w:ascii="Calibri" w:eastAsia="Calibri" w:hAnsi="Calibri" w:cs="Calibri"/>
          <w:bCs/>
          <w:color w:val="161616"/>
          <w:sz w:val="22"/>
        </w:rPr>
        <w:t xml:space="preserve"> – zaznacza </w:t>
      </w:r>
      <w:r w:rsidR="00F04C90" w:rsidRPr="00F04C90">
        <w:rPr>
          <w:rFonts w:ascii="Calibri" w:eastAsia="Calibri" w:hAnsi="Calibri" w:cs="Calibri"/>
          <w:b/>
          <w:color w:val="161616"/>
          <w:sz w:val="22"/>
        </w:rPr>
        <w:t>Paweł Szarkowski, Prezes Zarządu BIG InfoMonitor</w:t>
      </w:r>
      <w:r w:rsidR="00F04C90" w:rsidRPr="00F04C90">
        <w:rPr>
          <w:rFonts w:ascii="Calibri" w:eastAsia="Calibri" w:hAnsi="Calibri" w:cs="Calibri"/>
          <w:bCs/>
          <w:color w:val="161616"/>
          <w:sz w:val="22"/>
        </w:rPr>
        <w:t>.</w:t>
      </w:r>
    </w:p>
    <w:p w14:paraId="5C8B8B2E" w14:textId="54D70BA7" w:rsidR="00487502" w:rsidRPr="00487502" w:rsidRDefault="00B5280E" w:rsidP="00487502">
      <w:pPr>
        <w:pStyle w:val="NormalnyWeb"/>
        <w:spacing w:before="240" w:after="160" w:line="259" w:lineRule="auto"/>
        <w:jc w:val="both"/>
      </w:pPr>
      <w:r>
        <w:rPr>
          <w:rFonts w:ascii="Calibri" w:eastAsia="Calibri" w:hAnsi="Calibri" w:cs="Calibri"/>
          <w:b/>
          <w:bCs/>
          <w:color w:val="161616"/>
          <w:sz w:val="22"/>
        </w:rPr>
        <w:t>U</w:t>
      </w:r>
      <w:r w:rsidR="008129D6" w:rsidRPr="008129D6">
        <w:rPr>
          <w:rFonts w:ascii="Calibri" w:eastAsia="Calibri" w:hAnsi="Calibri" w:cs="Calibri"/>
          <w:b/>
          <w:bCs/>
          <w:color w:val="161616"/>
          <w:sz w:val="22"/>
        </w:rPr>
        <w:t>kład, na którym tracą wszyscy</w:t>
      </w:r>
    </w:p>
    <w:p w14:paraId="2BBA86C8" w14:textId="6A7403CB" w:rsidR="000C3533" w:rsidRPr="00487502" w:rsidRDefault="000C3533" w:rsidP="000F5E42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2"/>
        </w:rPr>
      </w:pPr>
      <w:r>
        <w:rPr>
          <w:rFonts w:ascii="Calibri" w:eastAsia="Calibri" w:hAnsi="Calibri" w:cs="Calibri"/>
          <w:color w:val="161616"/>
          <w:sz w:val="22"/>
        </w:rPr>
        <w:t>T</w:t>
      </w:r>
      <w:r w:rsidRPr="00487502">
        <w:rPr>
          <w:rFonts w:ascii="Calibri" w:eastAsia="Calibri" w:hAnsi="Calibri" w:cs="Calibri"/>
          <w:color w:val="161616"/>
          <w:sz w:val="22"/>
        </w:rPr>
        <w:t>o co nazywamy „etyką użytkową”</w:t>
      </w:r>
      <w:r w:rsidR="00487502">
        <w:rPr>
          <w:rFonts w:ascii="Calibri" w:eastAsia="Calibri" w:hAnsi="Calibri" w:cs="Calibri"/>
          <w:color w:val="161616"/>
          <w:sz w:val="22"/>
        </w:rPr>
        <w:t xml:space="preserve"> </w:t>
      </w:r>
      <w:r w:rsidRPr="00487502">
        <w:rPr>
          <w:rFonts w:ascii="Calibri" w:eastAsia="Calibri" w:hAnsi="Calibri" w:cs="Calibri"/>
          <w:color w:val="161616"/>
          <w:sz w:val="22"/>
        </w:rPr>
        <w:t>zamienia się w ryzykowny zjazd bez trzymanki. Rosnące zaległe zobowiązania finansowe drobnego biznesu często wypychają przedsiębiorców w stronę nieformalnych rozliczeń, co obie strony błędnie postrzegają jako racjonalny kompromis.</w:t>
      </w:r>
    </w:p>
    <w:p w14:paraId="3C0C8027" w14:textId="1819B83D" w:rsidR="0089506E" w:rsidRPr="00FE3FE9" w:rsidRDefault="0089506E" w:rsidP="008950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 w:rsidRPr="00FE3FE9">
        <w:rPr>
          <w:rFonts w:ascii="Calibri" w:eastAsia="Calibri" w:hAnsi="Calibri" w:cs="Calibri"/>
          <w:bCs/>
          <w:color w:val="161616"/>
          <w:sz w:val="22"/>
        </w:rPr>
        <w:t>Ta</w:t>
      </w:r>
      <w:r w:rsidR="0073049F">
        <w:rPr>
          <w:rFonts w:ascii="Calibri" w:eastAsia="Calibri" w:hAnsi="Calibri" w:cs="Calibri"/>
          <w:bCs/>
          <w:color w:val="161616"/>
          <w:sz w:val="22"/>
        </w:rPr>
        <w:t xml:space="preserve"> pozorna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 „solidarność” turystów zderza się z trudną kondycją finansową firm. Dane </w:t>
      </w:r>
      <w:r w:rsidR="008129D6">
        <w:rPr>
          <w:rFonts w:ascii="Calibri" w:eastAsia="Calibri" w:hAnsi="Calibri" w:cs="Calibri"/>
          <w:bCs/>
          <w:color w:val="161616"/>
          <w:sz w:val="22"/>
        </w:rPr>
        <w:t xml:space="preserve">z Rejestru Dłużników 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BIG InfoMonitor </w:t>
      </w:r>
      <w:r w:rsidR="003D0672">
        <w:rPr>
          <w:rFonts w:ascii="Calibri" w:eastAsia="Calibri" w:hAnsi="Calibri" w:cs="Calibri"/>
          <w:bCs/>
          <w:color w:val="161616"/>
          <w:sz w:val="22"/>
        </w:rPr>
        <w:t xml:space="preserve">i </w:t>
      </w:r>
      <w:r w:rsidR="00357151">
        <w:rPr>
          <w:rFonts w:ascii="Calibri" w:eastAsia="Calibri" w:hAnsi="Calibri" w:cs="Calibri"/>
          <w:bCs/>
          <w:color w:val="161616"/>
          <w:sz w:val="22"/>
        </w:rPr>
        <w:t xml:space="preserve">informacje na temat przeterminowanych zobowiązań kredytowych z </w:t>
      </w:r>
      <w:r w:rsidR="003D0672">
        <w:rPr>
          <w:rFonts w:ascii="Calibri" w:eastAsia="Calibri" w:hAnsi="Calibri" w:cs="Calibri"/>
          <w:bCs/>
          <w:color w:val="161616"/>
          <w:sz w:val="22"/>
        </w:rPr>
        <w:t xml:space="preserve">bazy BIK 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wskazują, że </w:t>
      </w:r>
      <w:r w:rsidR="008129D6">
        <w:rPr>
          <w:rFonts w:ascii="Calibri" w:eastAsia="Calibri" w:hAnsi="Calibri" w:cs="Calibri"/>
          <w:bCs/>
          <w:color w:val="161616"/>
          <w:sz w:val="22"/>
        </w:rPr>
        <w:t xml:space="preserve">np. 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podmioty zajmujące się sprzedażą detaliczną prowadzoną na straganach i targowiskach (PKD 47.81.Z), w tym punkty oferujące produkty takie jak oscypki czy pamiątki, zmagają się z </w:t>
      </w:r>
      <w:r w:rsidR="008B7BED">
        <w:rPr>
          <w:rFonts w:ascii="Calibri" w:eastAsia="Calibri" w:hAnsi="Calibri" w:cs="Calibri"/>
          <w:bCs/>
          <w:color w:val="161616"/>
          <w:sz w:val="22"/>
        </w:rPr>
        <w:t xml:space="preserve">przeterminowanym 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zadłużeniem sięgającym 48,6 mln zł. Warto zaznaczyć, że </w:t>
      </w:r>
      <w:r w:rsidR="003D0672">
        <w:rPr>
          <w:rFonts w:ascii="Calibri" w:eastAsia="Calibri" w:hAnsi="Calibri" w:cs="Calibri"/>
          <w:bCs/>
          <w:color w:val="161616"/>
          <w:sz w:val="22"/>
        </w:rPr>
        <w:t xml:space="preserve">niespłacone </w:t>
      </w:r>
      <w:r w:rsidRPr="00FE3FE9">
        <w:rPr>
          <w:rFonts w:ascii="Calibri" w:eastAsia="Calibri" w:hAnsi="Calibri" w:cs="Calibri"/>
          <w:bCs/>
          <w:color w:val="161616"/>
          <w:sz w:val="22"/>
        </w:rPr>
        <w:t>dług</w:t>
      </w:r>
      <w:r w:rsidR="003D0672">
        <w:rPr>
          <w:rFonts w:ascii="Calibri" w:eastAsia="Calibri" w:hAnsi="Calibri" w:cs="Calibri"/>
          <w:bCs/>
          <w:color w:val="161616"/>
          <w:sz w:val="22"/>
        </w:rPr>
        <w:t>i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 tego sektora wz</w:t>
      </w:r>
      <w:r w:rsidR="003D0672">
        <w:rPr>
          <w:rFonts w:ascii="Calibri" w:eastAsia="Calibri" w:hAnsi="Calibri" w:cs="Calibri"/>
          <w:bCs/>
          <w:color w:val="161616"/>
          <w:sz w:val="22"/>
        </w:rPr>
        <w:t>rosły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 w ciągu roku o blisko 10 mln zł</w:t>
      </w:r>
      <w:r w:rsidR="000C3860">
        <w:rPr>
          <w:rFonts w:ascii="Calibri" w:eastAsia="Calibri" w:hAnsi="Calibri" w:cs="Calibri"/>
          <w:bCs/>
          <w:color w:val="161616"/>
          <w:sz w:val="22"/>
        </w:rPr>
        <w:t>,</w:t>
      </w:r>
      <w:r w:rsidR="000C3860" w:rsidRPr="000C3860">
        <w:t xml:space="preserve"> </w:t>
      </w:r>
      <w:r w:rsidR="000C3860">
        <w:rPr>
          <w:rFonts w:ascii="Calibri" w:eastAsia="Calibri" w:hAnsi="Calibri" w:cs="Calibri"/>
          <w:bCs/>
          <w:color w:val="161616"/>
          <w:sz w:val="22"/>
        </w:rPr>
        <w:t>co oznacza wzrost aż o 26 proc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. Z wyzwaniami mierzą się także firmy zajmujące się wypożyczaniem i dzierżawą sprzętu rekreacyjnego i sportowego (PKD 77.21.Z), w którego skład wchodzą wypożyczalnie nart i </w:t>
      </w:r>
      <w:r w:rsidR="000F5E42">
        <w:rPr>
          <w:rFonts w:ascii="Calibri" w:eastAsia="Calibri" w:hAnsi="Calibri" w:cs="Calibri"/>
          <w:bCs/>
          <w:color w:val="161616"/>
          <w:sz w:val="22"/>
        </w:rPr>
        <w:t>desek snowboardowych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. Ich zaległe zobowiązania wynoszą </w:t>
      </w:r>
      <w:r w:rsidR="000F5E42">
        <w:rPr>
          <w:rFonts w:ascii="Calibri" w:eastAsia="Calibri" w:hAnsi="Calibri" w:cs="Calibri"/>
          <w:bCs/>
          <w:color w:val="161616"/>
          <w:sz w:val="22"/>
        </w:rPr>
        <w:t xml:space="preserve">aż </w:t>
      </w:r>
      <w:r w:rsidRPr="00FE3FE9">
        <w:rPr>
          <w:rFonts w:ascii="Calibri" w:eastAsia="Calibri" w:hAnsi="Calibri" w:cs="Calibri"/>
          <w:bCs/>
          <w:color w:val="161616"/>
          <w:sz w:val="22"/>
        </w:rPr>
        <w:t>46,6 mln zł</w:t>
      </w:r>
      <w:r w:rsidR="00B86756">
        <w:rPr>
          <w:rFonts w:ascii="Calibri" w:eastAsia="Calibri" w:hAnsi="Calibri" w:cs="Calibri"/>
          <w:bCs/>
          <w:color w:val="161616"/>
          <w:sz w:val="22"/>
        </w:rPr>
        <w:t xml:space="preserve">, </w:t>
      </w:r>
      <w:r w:rsidR="00B86756" w:rsidRPr="00B86756">
        <w:rPr>
          <w:rFonts w:ascii="Calibri" w:eastAsia="Calibri" w:hAnsi="Calibri" w:cs="Calibri"/>
          <w:bCs/>
          <w:color w:val="161616"/>
          <w:sz w:val="22"/>
        </w:rPr>
        <w:t>notując wzrost o blisko 2 proc. r/r.</w:t>
      </w:r>
    </w:p>
    <w:p w14:paraId="148C2B52" w14:textId="35B4E9D0" w:rsidR="0089506E" w:rsidRPr="00FE3FE9" w:rsidRDefault="0089506E" w:rsidP="008950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2"/>
        </w:rPr>
      </w:pPr>
      <w:r w:rsidRPr="00FE3FE9">
        <w:rPr>
          <w:rFonts w:ascii="Calibri" w:eastAsia="Calibri" w:hAnsi="Calibri" w:cs="Calibri"/>
          <w:bCs/>
          <w:i/>
          <w:color w:val="161616"/>
          <w:sz w:val="22"/>
        </w:rPr>
        <w:t xml:space="preserve">– Dane potwierdzają, że sektor mikro-usług sezonowych zmaga się z dużą presją finansową, a gwałtowny wzrost </w:t>
      </w:r>
      <w:r w:rsidR="008B7BED">
        <w:rPr>
          <w:rFonts w:ascii="Calibri" w:eastAsia="Calibri" w:hAnsi="Calibri" w:cs="Calibri"/>
          <w:bCs/>
          <w:i/>
          <w:color w:val="161616"/>
          <w:sz w:val="22"/>
        </w:rPr>
        <w:t>zaległości</w:t>
      </w:r>
      <w:r w:rsidRPr="00FE3FE9">
        <w:rPr>
          <w:rFonts w:ascii="Calibri" w:eastAsia="Calibri" w:hAnsi="Calibri" w:cs="Calibri"/>
          <w:bCs/>
          <w:i/>
          <w:color w:val="161616"/>
          <w:sz w:val="22"/>
        </w:rPr>
        <w:t xml:space="preserve"> na straganach o 10 mln zł sugeruje walkę o przetrwanie wielu z tych punktów. Pamiętajmy jednak, że choć z jednej strony chcemy pom</w:t>
      </w:r>
      <w:r w:rsidR="00FE3FE9">
        <w:rPr>
          <w:rFonts w:ascii="Calibri" w:eastAsia="Calibri" w:hAnsi="Calibri" w:cs="Calibri"/>
          <w:bCs/>
          <w:i/>
          <w:color w:val="161616"/>
          <w:sz w:val="22"/>
        </w:rPr>
        <w:t>óc przedsiębiorcy, to z drugiej, jako konsumenci, r</w:t>
      </w:r>
      <w:r w:rsidRPr="00FE3FE9">
        <w:rPr>
          <w:rFonts w:ascii="Calibri" w:eastAsia="Calibri" w:hAnsi="Calibri" w:cs="Calibri"/>
          <w:bCs/>
          <w:i/>
          <w:color w:val="161616"/>
          <w:sz w:val="22"/>
        </w:rPr>
        <w:t xml:space="preserve">ezygnując z paragonu, tracimy jakąkolwiek ochronę i prawo do reklamacji. </w:t>
      </w:r>
      <w:r w:rsidR="008B7BED">
        <w:rPr>
          <w:rFonts w:ascii="Calibri" w:eastAsia="Calibri" w:hAnsi="Calibri" w:cs="Calibri"/>
          <w:bCs/>
          <w:i/>
          <w:color w:val="161616"/>
          <w:sz w:val="22"/>
        </w:rPr>
        <w:br/>
      </w:r>
      <w:r w:rsidRPr="00FE3FE9">
        <w:rPr>
          <w:rFonts w:ascii="Calibri" w:eastAsia="Calibri" w:hAnsi="Calibri" w:cs="Calibri"/>
          <w:bCs/>
          <w:i/>
          <w:color w:val="161616"/>
          <w:sz w:val="22"/>
        </w:rPr>
        <w:lastRenderedPageBreak/>
        <w:t>W przypadku wypożyczania sprzętu narciarskiego ma to kluczowe znaczenie dla naszego bezpieczeństwa. Uczciwe rozliczanie usług to jedyna droga do budowania trwałej stabilności finansowej</w:t>
      </w:r>
      <w:r w:rsidR="008129D6">
        <w:rPr>
          <w:rFonts w:ascii="Calibri" w:eastAsia="Calibri" w:hAnsi="Calibri" w:cs="Calibri"/>
          <w:bCs/>
          <w:i/>
          <w:color w:val="161616"/>
          <w:sz w:val="22"/>
        </w:rPr>
        <w:t xml:space="preserve"> w gospodarce i budowanie kultury płatniczej</w:t>
      </w:r>
      <w:r w:rsidRPr="00FE3FE9">
        <w:rPr>
          <w:rFonts w:ascii="Calibri" w:eastAsia="Calibri" w:hAnsi="Calibri" w:cs="Calibri"/>
          <w:bCs/>
          <w:i/>
          <w:color w:val="161616"/>
          <w:sz w:val="22"/>
        </w:rPr>
        <w:t>, szczególnie w tak zmiennej branży jak usługi zimowe</w:t>
      </w:r>
      <w:r w:rsidRPr="00FE3FE9">
        <w:rPr>
          <w:rFonts w:ascii="Calibri" w:eastAsia="Calibri" w:hAnsi="Calibri" w:cs="Calibri"/>
          <w:bCs/>
          <w:color w:val="161616"/>
          <w:sz w:val="22"/>
        </w:rPr>
        <w:t xml:space="preserve"> – komentuje</w:t>
      </w:r>
      <w:r w:rsidRPr="00FE3FE9">
        <w:rPr>
          <w:rFonts w:ascii="Calibri" w:eastAsia="Calibri" w:hAnsi="Calibri" w:cs="Calibri"/>
          <w:b/>
          <w:bCs/>
          <w:color w:val="161616"/>
          <w:sz w:val="22"/>
        </w:rPr>
        <w:t xml:space="preserve"> </w:t>
      </w:r>
      <w:r w:rsidR="00A13460">
        <w:rPr>
          <w:rFonts w:ascii="Calibri" w:eastAsia="Calibri" w:hAnsi="Calibri" w:cs="Calibri"/>
          <w:b/>
          <w:bCs/>
          <w:color w:val="161616"/>
          <w:sz w:val="22"/>
        </w:rPr>
        <w:t>dr hab.</w:t>
      </w:r>
      <w:r w:rsidR="00E058C4">
        <w:rPr>
          <w:rFonts w:ascii="Calibri" w:eastAsia="Calibri" w:hAnsi="Calibri" w:cs="Calibri"/>
          <w:b/>
          <w:bCs/>
          <w:color w:val="161616"/>
          <w:sz w:val="22"/>
        </w:rPr>
        <w:t xml:space="preserve"> </w:t>
      </w:r>
      <w:r w:rsidR="00F04C90">
        <w:rPr>
          <w:rFonts w:ascii="Calibri" w:eastAsia="Calibri" w:hAnsi="Calibri" w:cs="Calibri"/>
          <w:b/>
          <w:bCs/>
          <w:color w:val="161616"/>
          <w:sz w:val="22"/>
        </w:rPr>
        <w:t>Waldemar Rogowski, główny analityk BIG InfoMonitor.</w:t>
      </w:r>
    </w:p>
    <w:p w14:paraId="288BBCF5" w14:textId="77777777" w:rsidR="00267237" w:rsidRDefault="00267237" w:rsidP="000D2DEE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</w:p>
    <w:p w14:paraId="2F0FCEF9" w14:textId="7D0AF5FC" w:rsidR="003D0672" w:rsidRDefault="00267237" w:rsidP="000D2DEE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  <w:r>
        <w:rPr>
          <w:rFonts w:ascii="Calibri" w:eastAsia="Calibri" w:hAnsi="Calibri" w:cs="Calibri"/>
          <w:bCs/>
          <w:color w:val="161616"/>
          <w:sz w:val="22"/>
        </w:rPr>
        <w:t>Raport</w:t>
      </w:r>
      <w:r w:rsidRPr="00267237">
        <w:rPr>
          <w:rFonts w:ascii="Calibri" w:eastAsia="Calibri" w:hAnsi="Calibri" w:cs="Calibri"/>
          <w:bCs/>
          <w:color w:val="161616"/>
          <w:sz w:val="22"/>
        </w:rPr>
        <w:t xml:space="preserve"> „Kultura finansowa w Polsce. Czy uczciwość nadal jest w cenie? Postawy konsumentów i przedsiębiorców w świecie finansów</w:t>
      </w:r>
      <w:r>
        <w:rPr>
          <w:rFonts w:ascii="Calibri" w:eastAsia="Calibri" w:hAnsi="Calibri" w:cs="Calibri"/>
          <w:bCs/>
          <w:color w:val="161616"/>
          <w:sz w:val="22"/>
        </w:rPr>
        <w:t>”</w:t>
      </w:r>
      <w:r w:rsidRPr="00267237">
        <w:rPr>
          <w:rFonts w:ascii="Calibri" w:eastAsia="Calibri" w:hAnsi="Calibri" w:cs="Calibri"/>
          <w:bCs/>
          <w:color w:val="161616"/>
          <w:sz w:val="22"/>
        </w:rPr>
        <w:t xml:space="preserve"> dostępny jest do pobrania na stronie </w:t>
      </w:r>
      <w:hyperlink r:id="rId8" w:history="1">
        <w:r w:rsidRPr="00DC0B51">
          <w:rPr>
            <w:rStyle w:val="Hipercze"/>
            <w:rFonts w:ascii="Calibri" w:eastAsia="Calibri" w:hAnsi="Calibri" w:cs="Calibri"/>
            <w:bCs/>
            <w:sz w:val="22"/>
          </w:rPr>
          <w:t>https://media.big.pl/publikacje</w:t>
        </w:r>
      </w:hyperlink>
    </w:p>
    <w:p w14:paraId="62D23232" w14:textId="77777777" w:rsidR="00267237" w:rsidRPr="000F5E42" w:rsidRDefault="00267237" w:rsidP="000D2DEE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2"/>
        </w:rPr>
      </w:pPr>
    </w:p>
    <w:p w14:paraId="401C8BFD" w14:textId="07CEE671" w:rsidR="00AF0982" w:rsidRPr="00205A27" w:rsidRDefault="00AF0982" w:rsidP="00766A20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9D395B1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BD3D" w14:textId="77777777" w:rsidR="0000434C" w:rsidRDefault="0000434C" w:rsidP="006450DE">
      <w:pPr>
        <w:spacing w:line="240" w:lineRule="auto"/>
      </w:pPr>
      <w:r>
        <w:separator/>
      </w:r>
    </w:p>
  </w:endnote>
  <w:endnote w:type="continuationSeparator" w:id="0">
    <w:p w14:paraId="20DF8714" w14:textId="77777777" w:rsidR="0000434C" w:rsidRDefault="0000434C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766A20" w:rsidRDefault="00766A20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766A20" w:rsidRPr="006450DE" w:rsidRDefault="00766A20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766A20" w:rsidRPr="006450DE" w:rsidRDefault="00766A20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766A20" w:rsidRDefault="00766A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766A20" w:rsidRDefault="00766A20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766A20" w:rsidRPr="006450DE" w:rsidRDefault="00766A20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766A20" w:rsidRPr="006450DE" w:rsidRDefault="00766A20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766A20" w:rsidRDefault="00766A2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766A20" w:rsidRPr="00357151" w:rsidRDefault="00766A20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357151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357151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766A20" w:rsidRDefault="00766A2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766A20" w:rsidRPr="00357151" w:rsidRDefault="00766A20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357151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357151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786C91B2" w:rsidR="00766A20" w:rsidRDefault="00766A20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0C3860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0C3860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766A20" w:rsidRDefault="00766A20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766A20" w:rsidRDefault="00766A20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766A20" w:rsidRPr="006450DE" w:rsidRDefault="00766A20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766A20" w:rsidRPr="006450DE" w:rsidRDefault="00766A20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766A20" w:rsidRDefault="00766A20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766A20" w:rsidRPr="00357151" w:rsidRDefault="00766A20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357151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357151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766A20" w:rsidRDefault="00766A20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766A20" w:rsidRPr="00357151" w:rsidRDefault="00766A20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357151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357151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766A20" w:rsidRDefault="00766A20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766A20" w:rsidRDefault="00766A20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49296CD2" w:rsidR="00766A20" w:rsidRDefault="00766A20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0C3860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0C3860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766A20" w:rsidRDefault="00766A20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1A3C" w14:textId="77777777" w:rsidR="0000434C" w:rsidRDefault="0000434C" w:rsidP="006450DE">
      <w:pPr>
        <w:spacing w:line="240" w:lineRule="auto"/>
      </w:pPr>
      <w:r>
        <w:separator/>
      </w:r>
    </w:p>
  </w:footnote>
  <w:footnote w:type="continuationSeparator" w:id="0">
    <w:p w14:paraId="320686AD" w14:textId="77777777" w:rsidR="0000434C" w:rsidRDefault="0000434C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766A20" w:rsidRDefault="00766A20"/>
  <w:p w14:paraId="4492AB5A" w14:textId="77777777" w:rsidR="00766A20" w:rsidRDefault="00766A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766A20" w:rsidRDefault="00766A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766A20" w:rsidRDefault="00766A20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766A20" w:rsidRDefault="00766A20"/>
  <w:p w14:paraId="2DECC0A1" w14:textId="77777777" w:rsidR="00766A20" w:rsidRDefault="00766A20"/>
  <w:p w14:paraId="6EA6B4DB" w14:textId="77777777" w:rsidR="00766A20" w:rsidRDefault="00766A20"/>
  <w:p w14:paraId="0C7523A2" w14:textId="77777777" w:rsidR="00766A20" w:rsidRDefault="00766A20">
    <w:pPr>
      <w:ind w:firstLine="708"/>
    </w:pPr>
  </w:p>
  <w:p w14:paraId="04E4AAE3" w14:textId="77777777" w:rsidR="00766A20" w:rsidRDefault="00766A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1F4BFF"/>
    <w:multiLevelType w:val="hybridMultilevel"/>
    <w:tmpl w:val="9086D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3965">
    <w:abstractNumId w:val="2"/>
  </w:num>
  <w:num w:numId="2" w16cid:durableId="487089768">
    <w:abstractNumId w:val="3"/>
  </w:num>
  <w:num w:numId="3" w16cid:durableId="1817185954">
    <w:abstractNumId w:val="5"/>
  </w:num>
  <w:num w:numId="4" w16cid:durableId="867717909">
    <w:abstractNumId w:val="0"/>
  </w:num>
  <w:num w:numId="5" w16cid:durableId="303707191">
    <w:abstractNumId w:val="6"/>
  </w:num>
  <w:num w:numId="6" w16cid:durableId="843788361">
    <w:abstractNumId w:val="1"/>
  </w:num>
  <w:num w:numId="7" w16cid:durableId="1829512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34C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A9B"/>
    <w:rsid w:val="00032190"/>
    <w:rsid w:val="0003337F"/>
    <w:rsid w:val="00033E8A"/>
    <w:rsid w:val="00033ED2"/>
    <w:rsid w:val="00037D7C"/>
    <w:rsid w:val="0004007B"/>
    <w:rsid w:val="00040390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2B5A"/>
    <w:rsid w:val="000C3533"/>
    <w:rsid w:val="000C3860"/>
    <w:rsid w:val="000C5797"/>
    <w:rsid w:val="000C5C51"/>
    <w:rsid w:val="000C7F5D"/>
    <w:rsid w:val="000D29CE"/>
    <w:rsid w:val="000D2DEE"/>
    <w:rsid w:val="000D40A0"/>
    <w:rsid w:val="000D784F"/>
    <w:rsid w:val="000E5685"/>
    <w:rsid w:val="000E64E9"/>
    <w:rsid w:val="000E6D1E"/>
    <w:rsid w:val="000E7A3D"/>
    <w:rsid w:val="000F4006"/>
    <w:rsid w:val="000F5E42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56D1"/>
    <w:rsid w:val="001A690B"/>
    <w:rsid w:val="001A6AE9"/>
    <w:rsid w:val="001A6F8B"/>
    <w:rsid w:val="001A72C5"/>
    <w:rsid w:val="001A7CB7"/>
    <w:rsid w:val="001B07AD"/>
    <w:rsid w:val="001B0A10"/>
    <w:rsid w:val="001B19E9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1EBF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766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67237"/>
    <w:rsid w:val="002726E8"/>
    <w:rsid w:val="00273C34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47F9"/>
    <w:rsid w:val="002B5777"/>
    <w:rsid w:val="002B72C5"/>
    <w:rsid w:val="002C05C9"/>
    <w:rsid w:val="002C0BE5"/>
    <w:rsid w:val="002C45B9"/>
    <w:rsid w:val="002C4CE6"/>
    <w:rsid w:val="002C4DA7"/>
    <w:rsid w:val="002C557C"/>
    <w:rsid w:val="002C6855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7416"/>
    <w:rsid w:val="00337F75"/>
    <w:rsid w:val="00342868"/>
    <w:rsid w:val="003452A3"/>
    <w:rsid w:val="00345491"/>
    <w:rsid w:val="00345CA5"/>
    <w:rsid w:val="00346746"/>
    <w:rsid w:val="00346A3D"/>
    <w:rsid w:val="00350873"/>
    <w:rsid w:val="00352421"/>
    <w:rsid w:val="00354293"/>
    <w:rsid w:val="003556B7"/>
    <w:rsid w:val="00357151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3DAA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672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63564"/>
    <w:rsid w:val="0046435C"/>
    <w:rsid w:val="00473BB0"/>
    <w:rsid w:val="00474278"/>
    <w:rsid w:val="0047656E"/>
    <w:rsid w:val="0048427F"/>
    <w:rsid w:val="0048748C"/>
    <w:rsid w:val="00487502"/>
    <w:rsid w:val="0049043F"/>
    <w:rsid w:val="00490A38"/>
    <w:rsid w:val="00493AD2"/>
    <w:rsid w:val="0049475C"/>
    <w:rsid w:val="004978FF"/>
    <w:rsid w:val="004A0E38"/>
    <w:rsid w:val="004A1C4E"/>
    <w:rsid w:val="004A34A2"/>
    <w:rsid w:val="004A43F6"/>
    <w:rsid w:val="004B07F9"/>
    <w:rsid w:val="004B5D29"/>
    <w:rsid w:val="004C4CDE"/>
    <w:rsid w:val="004C7466"/>
    <w:rsid w:val="004C79DA"/>
    <w:rsid w:val="004D072C"/>
    <w:rsid w:val="004D7EAE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10BC5"/>
    <w:rsid w:val="00521C3E"/>
    <w:rsid w:val="00523B1D"/>
    <w:rsid w:val="00526CD9"/>
    <w:rsid w:val="00532EFE"/>
    <w:rsid w:val="00535AE3"/>
    <w:rsid w:val="0053660B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219"/>
    <w:rsid w:val="00576432"/>
    <w:rsid w:val="00576FCF"/>
    <w:rsid w:val="00577E9B"/>
    <w:rsid w:val="00581252"/>
    <w:rsid w:val="00582705"/>
    <w:rsid w:val="00583D97"/>
    <w:rsid w:val="00583D99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262F"/>
    <w:rsid w:val="005C483A"/>
    <w:rsid w:val="005C5079"/>
    <w:rsid w:val="005C59BE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519C3"/>
    <w:rsid w:val="0065453E"/>
    <w:rsid w:val="00663103"/>
    <w:rsid w:val="0066484F"/>
    <w:rsid w:val="00664D3A"/>
    <w:rsid w:val="00670CFD"/>
    <w:rsid w:val="006742DF"/>
    <w:rsid w:val="00677986"/>
    <w:rsid w:val="006811E5"/>
    <w:rsid w:val="0068537F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C6814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3049F"/>
    <w:rsid w:val="00733CD1"/>
    <w:rsid w:val="00733E97"/>
    <w:rsid w:val="0073426F"/>
    <w:rsid w:val="00734307"/>
    <w:rsid w:val="0073476E"/>
    <w:rsid w:val="00734FC7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3A67"/>
    <w:rsid w:val="007E4449"/>
    <w:rsid w:val="007E4EED"/>
    <w:rsid w:val="007E5B38"/>
    <w:rsid w:val="007F0106"/>
    <w:rsid w:val="007F21BD"/>
    <w:rsid w:val="00811D1F"/>
    <w:rsid w:val="008129D6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462FB"/>
    <w:rsid w:val="00850FDA"/>
    <w:rsid w:val="008513F2"/>
    <w:rsid w:val="008519FD"/>
    <w:rsid w:val="00854C84"/>
    <w:rsid w:val="00860963"/>
    <w:rsid w:val="0086341C"/>
    <w:rsid w:val="0086686F"/>
    <w:rsid w:val="00866E66"/>
    <w:rsid w:val="00867EA9"/>
    <w:rsid w:val="00871392"/>
    <w:rsid w:val="00872A14"/>
    <w:rsid w:val="00873293"/>
    <w:rsid w:val="00875F86"/>
    <w:rsid w:val="008760EC"/>
    <w:rsid w:val="00881ED0"/>
    <w:rsid w:val="00882B4A"/>
    <w:rsid w:val="0088453A"/>
    <w:rsid w:val="00884550"/>
    <w:rsid w:val="008866C4"/>
    <w:rsid w:val="00894536"/>
    <w:rsid w:val="0089506E"/>
    <w:rsid w:val="0089669F"/>
    <w:rsid w:val="008A19A8"/>
    <w:rsid w:val="008A298D"/>
    <w:rsid w:val="008A4960"/>
    <w:rsid w:val="008A5E82"/>
    <w:rsid w:val="008A7870"/>
    <w:rsid w:val="008B17BA"/>
    <w:rsid w:val="008B632F"/>
    <w:rsid w:val="008B7BED"/>
    <w:rsid w:val="008C1EB2"/>
    <w:rsid w:val="008C2D82"/>
    <w:rsid w:val="008E10A7"/>
    <w:rsid w:val="008E13DF"/>
    <w:rsid w:val="008E3BE7"/>
    <w:rsid w:val="008E639D"/>
    <w:rsid w:val="008F5D00"/>
    <w:rsid w:val="008F6EB2"/>
    <w:rsid w:val="00901C6C"/>
    <w:rsid w:val="00902ECF"/>
    <w:rsid w:val="00912F78"/>
    <w:rsid w:val="009134FE"/>
    <w:rsid w:val="0092527D"/>
    <w:rsid w:val="009278F9"/>
    <w:rsid w:val="00932056"/>
    <w:rsid w:val="00934956"/>
    <w:rsid w:val="009379C0"/>
    <w:rsid w:val="00951E39"/>
    <w:rsid w:val="009548B5"/>
    <w:rsid w:val="00954CCA"/>
    <w:rsid w:val="00955079"/>
    <w:rsid w:val="00960FE3"/>
    <w:rsid w:val="009655E2"/>
    <w:rsid w:val="00970C78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7806"/>
    <w:rsid w:val="009D7C39"/>
    <w:rsid w:val="009E0672"/>
    <w:rsid w:val="009E4BBC"/>
    <w:rsid w:val="009F06E8"/>
    <w:rsid w:val="009F1A14"/>
    <w:rsid w:val="009F1A25"/>
    <w:rsid w:val="009F68AD"/>
    <w:rsid w:val="009F7E6E"/>
    <w:rsid w:val="00A014A4"/>
    <w:rsid w:val="00A01EB0"/>
    <w:rsid w:val="00A039A8"/>
    <w:rsid w:val="00A045E5"/>
    <w:rsid w:val="00A0748D"/>
    <w:rsid w:val="00A13207"/>
    <w:rsid w:val="00A13460"/>
    <w:rsid w:val="00A16B3D"/>
    <w:rsid w:val="00A16E42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18AB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4FCF"/>
    <w:rsid w:val="00B0575C"/>
    <w:rsid w:val="00B06607"/>
    <w:rsid w:val="00B171D8"/>
    <w:rsid w:val="00B200FF"/>
    <w:rsid w:val="00B20824"/>
    <w:rsid w:val="00B226C0"/>
    <w:rsid w:val="00B25A86"/>
    <w:rsid w:val="00B3386F"/>
    <w:rsid w:val="00B3696D"/>
    <w:rsid w:val="00B438F1"/>
    <w:rsid w:val="00B45B5A"/>
    <w:rsid w:val="00B47436"/>
    <w:rsid w:val="00B478F7"/>
    <w:rsid w:val="00B50768"/>
    <w:rsid w:val="00B520A5"/>
    <w:rsid w:val="00B5280E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86756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C67CC"/>
    <w:rsid w:val="00BD2C7B"/>
    <w:rsid w:val="00BD4685"/>
    <w:rsid w:val="00BD4B51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678C4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43D0"/>
    <w:rsid w:val="00D364A9"/>
    <w:rsid w:val="00D4412A"/>
    <w:rsid w:val="00D45BA5"/>
    <w:rsid w:val="00D45CF6"/>
    <w:rsid w:val="00D470A4"/>
    <w:rsid w:val="00D500AD"/>
    <w:rsid w:val="00D51FC0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131"/>
    <w:rsid w:val="00DE2663"/>
    <w:rsid w:val="00DE3820"/>
    <w:rsid w:val="00DF0474"/>
    <w:rsid w:val="00DF6119"/>
    <w:rsid w:val="00E017E5"/>
    <w:rsid w:val="00E0526C"/>
    <w:rsid w:val="00E056FE"/>
    <w:rsid w:val="00E058C4"/>
    <w:rsid w:val="00E06AE3"/>
    <w:rsid w:val="00E06EC0"/>
    <w:rsid w:val="00E10CC0"/>
    <w:rsid w:val="00E13097"/>
    <w:rsid w:val="00E15447"/>
    <w:rsid w:val="00E1604C"/>
    <w:rsid w:val="00E24862"/>
    <w:rsid w:val="00E2495D"/>
    <w:rsid w:val="00E25C32"/>
    <w:rsid w:val="00E275E4"/>
    <w:rsid w:val="00E31681"/>
    <w:rsid w:val="00E34D26"/>
    <w:rsid w:val="00E3545A"/>
    <w:rsid w:val="00E37100"/>
    <w:rsid w:val="00E41C65"/>
    <w:rsid w:val="00E4348A"/>
    <w:rsid w:val="00E44180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A757B"/>
    <w:rsid w:val="00EB018A"/>
    <w:rsid w:val="00EB27B8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01ED"/>
    <w:rsid w:val="00F040CB"/>
    <w:rsid w:val="00F042D6"/>
    <w:rsid w:val="00F04C90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1825"/>
    <w:rsid w:val="00F841F7"/>
    <w:rsid w:val="00F858AA"/>
    <w:rsid w:val="00F86D53"/>
    <w:rsid w:val="00F86DEA"/>
    <w:rsid w:val="00F9166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4202"/>
    <w:rsid w:val="00FC4817"/>
    <w:rsid w:val="00FC7CF2"/>
    <w:rsid w:val="00FD1D3C"/>
    <w:rsid w:val="00FD64B9"/>
    <w:rsid w:val="00FE2690"/>
    <w:rsid w:val="00FE3FE9"/>
    <w:rsid w:val="00FE4BF9"/>
    <w:rsid w:val="00FF017B"/>
    <w:rsid w:val="00FF259A"/>
    <w:rsid w:val="00FF305B"/>
    <w:rsid w:val="00FF3FB4"/>
    <w:rsid w:val="00FF442F"/>
    <w:rsid w:val="00FF55B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8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950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8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big.pl/publikacj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CBD4-DD74-40AA-BD2F-54FF40FA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10</cp:revision>
  <dcterms:created xsi:type="dcterms:W3CDTF">2026-01-27T11:51:00Z</dcterms:created>
  <dcterms:modified xsi:type="dcterms:W3CDTF">2026-01-29T14:03:00Z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