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5896" w14:textId="77777777" w:rsidR="007A414B" w:rsidRPr="007A414B" w:rsidRDefault="007A414B" w:rsidP="007A414B">
      <w:pPr>
        <w:spacing w:before="120" w:after="120" w:line="240" w:lineRule="auto"/>
        <w:rPr>
          <w:rFonts w:ascii="Noto Sans" w:eastAsia="Times New Roman" w:hAnsi="Noto Sans" w:cs="Noto Sans"/>
          <w:sz w:val="32"/>
          <w:szCs w:val="32"/>
          <w:lang w:val="pt-BR"/>
        </w:rPr>
      </w:pPr>
      <w:r w:rsidRPr="007A414B">
        <w:rPr>
          <w:rFonts w:ascii="Noto Sans" w:eastAsia="Times New Roman" w:hAnsi="Noto Sans" w:cs="Noto Sans"/>
          <w:b/>
          <w:bCs/>
          <w:sz w:val="32"/>
          <w:szCs w:val="32"/>
          <w:lang w:val="pt-PT"/>
        </w:rPr>
        <w:t>O cálculo preciso de custos é fundamental para a rentabilidade da impressão digital de etiquetas</w:t>
      </w:r>
    </w:p>
    <w:p w14:paraId="5A332631"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i/>
          <w:iCs/>
          <w:sz w:val="22"/>
          <w:lang w:val="pt-PT"/>
        </w:rPr>
        <w:t>Na impressão de etiquetas, não existe um trabalho "médio". Cada etiqueta difere em termos de design, superfície, cobertura de tinta e configuração da impressora. No entanto, muitos fabricantes de etiquetas ainda ignoram esta complexidade e continuam a depender de modelos de preços baseados em médias. O resultado: orçamentos incorretos que consomem as margens, atrasam decisões e enfraquecem a confiança dos clientes.</w:t>
      </w:r>
    </w:p>
    <w:p w14:paraId="774D0C60"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i/>
          <w:iCs/>
          <w:sz w:val="22"/>
          <w:lang w:val="pt-PT"/>
        </w:rPr>
        <w:t>Michael Matthews, Product Manager, Domino Printing Sciences (Domino), explica como o cálculo atempado e preciso dos custos contribui para a rentabilidade, oferecendo sugestões práticas para ajudar os fabricantes de etiquetas a permanecerem competitivos.</w:t>
      </w:r>
    </w:p>
    <w:p w14:paraId="61E0B243"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b/>
          <w:bCs/>
          <w:sz w:val="22"/>
          <w:lang w:val="pt-PT"/>
        </w:rPr>
        <w:t>A importância do cálculo preciso dos custos de etiquetas</w:t>
      </w:r>
    </w:p>
    <w:p w14:paraId="0423AA0E"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Um cálculo de custos de precisão é vital para a rentabilidade. O aumento das tiragens curtas que exigem uma resposta rápida significa que os fabricantes têm de dar às suas equipas de vendas acesso rápido a informações precisas.</w:t>
      </w:r>
    </w:p>
    <w:p w14:paraId="673F9C46"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Como pode uma empresa oferecer um desconto com confiança sem saber o custo exato da produção de uma etiqueta? Ou prometer um prazo de entrega específico sem conhecer os diferentes modelos de custos associados a cada impressora?</w:t>
      </w:r>
    </w:p>
    <w:p w14:paraId="0E5B0452"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Um processo de cálculo de custos eficaz garante mais do que preços rentáveis para cada trabalho: é a base para o sucesso comercial a longo prazo.</w:t>
      </w:r>
    </w:p>
    <w:p w14:paraId="54C17DED"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b/>
          <w:bCs/>
          <w:sz w:val="22"/>
          <w:lang w:val="pt-PT"/>
        </w:rPr>
        <w:t>Orçamentos detalhados e específicos</w:t>
      </w:r>
    </w:p>
    <w:p w14:paraId="1E08D985" w14:textId="5CF29614"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 xml:space="preserve">Obter orçamentos exatos, especialmente sob pressão de tempo, não é simples. Os modelos de preços baseados em médias não podem garantir a rentabilidade devido às frequentes flutuações nos custos de tinta e superfícies. As tarifas e a disponibilidade de material, por exemplo, podem afetar significativamente o </w:t>
      </w:r>
      <w:hyperlink r:id="rId6" w:history="1">
        <w:r w:rsidRPr="007A414B">
          <w:rPr>
            <w:rFonts w:ascii="Noto Sans" w:eastAsia="Times New Roman" w:hAnsi="Noto Sans" w:cs="Noto Sans"/>
            <w:color w:val="0000EE"/>
            <w:sz w:val="22"/>
            <w:u w:val="single"/>
            <w:lang w:val="pt-PT"/>
          </w:rPr>
          <w:t>custo dos consumíveis por etiqueta</w:t>
        </w:r>
      </w:hyperlink>
      <w:r w:rsidRPr="007A414B">
        <w:rPr>
          <w:rFonts w:ascii="Noto Sans" w:eastAsia="Times New Roman" w:hAnsi="Noto Sans" w:cs="Noto Sans"/>
          <w:sz w:val="22"/>
          <w:lang w:val="pt-PT"/>
        </w:rPr>
        <w:t>.</w:t>
      </w:r>
    </w:p>
    <w:p w14:paraId="548D96C9"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Na impressão digital, o custo de produção de uma etiqueta pode variar consoante a impressora de etiquetas específica utilizada. Fatores como a resolução de impressão e o tamanho da gota de tinta afetam o consumo de tinta, e os preços da tinta a cores podem variar entre fornecedores, mesmo no âmbito do mesmo conjunto de tintas. A utilização de tinta também pode variar consoante a superfície, uma vez que as superfícies porosas requerem mais tinta para obter a cobertura da etiqueta pretendida.</w:t>
      </w:r>
    </w:p>
    <w:p w14:paraId="56DE8432"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Para garantir que os novos negócios são ao mesmo tempo competitivos e rentáveis, os fabricantes de etiquetas que operam várias impressoras a jato de tinta digital, mesmo que sejam do mesmo fornecedor, precisam de gerar orçamentos com base no equipamento digital específico utilizado. As alterações de última hora, como mudar de impressora quando a encomenda chega, podem afetar as margens, dada a probabilidade de os custos se desviarem da estimativa original.</w:t>
      </w:r>
    </w:p>
    <w:p w14:paraId="31825093"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b/>
          <w:bCs/>
          <w:sz w:val="22"/>
          <w:lang w:val="pt-PT"/>
        </w:rPr>
        <w:t>Orçamentos baseados em dados  </w:t>
      </w:r>
    </w:p>
    <w:p w14:paraId="6F59EC25"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O cálculo de custos preciso é a chave para ganhar novos e lucrativos negócios. As ferramentas digitais integradas na impressora, que utilizam informação atualizada, permitem aos fabricantes afastar-se dos modelos de taxa adicional, que tendem a simplificar excessivamente os custos de produção, o que pode resultar em cobrar demasiado por alguns trabalhos e menos por outros. Uma abordagem mais precisa e baseada em dados utiliza cálculos de custos específicos para cada trabalho, com base no consumo real de tinta e nos perfis das superfícies, utilizando os modelos de preços mais recentes.</w:t>
      </w:r>
    </w:p>
    <w:p w14:paraId="67C531FD"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A velocidade do cálculo de custos também pode ser melhorada ao guardar e reutilizar perfis de trabalhos na impressora. Isto elimina a necessidade de recalcular a partir do zero, assegura a consistência dos preços e acelera o processamento de encomendas repetidas.</w:t>
      </w:r>
    </w:p>
    <w:p w14:paraId="131B9C24"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As ferramentas digitais podem desbloquear análises de dados mais profundas, melhorando a precisão dos orçamentos e garantindo que cada negociação com o cliente reflete os requisitos específicos de tempo e/ou orçamento. Por exemplo, é possível usar calculadoras de custo do trabalho integradas na impressora para avaliar os custos de diferentes materiais com base nas diferenças de preço das superfícies e nas taxas de absorção da tinta. Embora uma superfície menos porosa possa ter um custo inicial mais elevado, pode permitir poupanças de tinta que reduzem o custo total do trabalho.</w:t>
      </w:r>
    </w:p>
    <w:p w14:paraId="2541D3C4" w14:textId="3DD25F76"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 xml:space="preserve">O planeamento baseado em análise de dados também pode </w:t>
      </w:r>
      <w:hyperlink r:id="rId7" w:history="1">
        <w:r w:rsidRPr="007A414B">
          <w:rPr>
            <w:rFonts w:ascii="Noto Sans" w:eastAsia="Times New Roman" w:hAnsi="Noto Sans" w:cs="Noto Sans"/>
            <w:color w:val="0000EE"/>
            <w:sz w:val="22"/>
            <w:u w:val="single"/>
            <w:lang w:val="pt-PT"/>
          </w:rPr>
          <w:t>aumentar a eficiência operacional</w:t>
        </w:r>
      </w:hyperlink>
      <w:r w:rsidRPr="007A414B">
        <w:rPr>
          <w:rFonts w:ascii="Noto Sans" w:eastAsia="Times New Roman" w:hAnsi="Noto Sans" w:cs="Noto Sans"/>
          <w:sz w:val="22"/>
          <w:lang w:val="pt-PT"/>
        </w:rPr>
        <w:t>, por exemplo, ao minimizar o número de trocas de ferramentas de corte necessárias. Reduzir a variedade de formas e tamanhos de etiquetas que disponibiliza pode simplificar o cálculo de custos dos trabalhos e contribuir para diminuir os custos das ferramentas.</w:t>
      </w:r>
    </w:p>
    <w:p w14:paraId="6965D301"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b/>
          <w:bCs/>
          <w:sz w:val="22"/>
          <w:lang w:val="pt-PT"/>
        </w:rPr>
        <w:t>Capacitar as equipas de vendas</w:t>
      </w:r>
    </w:p>
    <w:p w14:paraId="025CAE2D"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 xml:space="preserve">De forma crítica, a tecnologia digital elimina a dependência de equipas dedicadas de profissionais experientes em estimativas de impressão, permitindo-lhes concentrar os seus esforços nas aplicações flexográficas e híbridas internamente. A maioria dos fornecedores de impressoras digitais de etiquetas inclui calculadoras de custos fáceis de utilizar nos respetivos fluxos de trabalho, permitindo que os fabricantes de etiquetas gerem estimativas de custos para os trabalhos artísticos carregados na impressora entre trabalhos. A calculadora estima o número de gotas de tinta por cor e o comprimento da superfície utilizada, calculando a estimativa do trabalho com base nos custos registados no sistema, incluindo uma taxa fixa para cobrir as despesas gerais. </w:t>
      </w:r>
    </w:p>
    <w:p w14:paraId="38929B89"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Alguns fornecedores até disponibilizam offline a sua calculadora integrada na impressora, permitindo às equipas de vendas e de estimativas gerar orçamentos remotamente, sem interromper a produção.</w:t>
      </w:r>
    </w:p>
    <w:p w14:paraId="6B65B089"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b/>
          <w:bCs/>
          <w:sz w:val="22"/>
          <w:lang w:val="pt-PT"/>
        </w:rPr>
        <w:t>Conclusão:</w:t>
      </w:r>
    </w:p>
    <w:p w14:paraId="3732597A" w14:textId="77777777" w:rsidR="007A414B" w:rsidRPr="007A414B" w:rsidRDefault="007A414B" w:rsidP="007A414B">
      <w:pPr>
        <w:spacing w:before="120" w:after="120" w:line="240" w:lineRule="auto"/>
        <w:rPr>
          <w:rFonts w:ascii="Noto Sans" w:eastAsia="Times New Roman" w:hAnsi="Noto Sans" w:cs="Noto Sans"/>
          <w:sz w:val="22"/>
          <w:lang w:val="pt-BR"/>
        </w:rPr>
      </w:pPr>
      <w:r w:rsidRPr="007A414B">
        <w:rPr>
          <w:rFonts w:ascii="Noto Sans" w:eastAsia="Times New Roman" w:hAnsi="Noto Sans" w:cs="Noto Sans"/>
          <w:sz w:val="22"/>
          <w:lang w:val="pt-PT"/>
        </w:rPr>
        <w:t>No mercado atual, altamente dinâmico e sensível ao preço, criar orçamentos de precisão é um imperativo estratégico. É a diferença entre salvaguardar a rentabilidade ou sacrificar a margem. Entre assegurar a retenção do negócio ou perder clientes para concorrentes mais rápidos e confiantes.</w:t>
      </w:r>
    </w:p>
    <w:p w14:paraId="7CDC3AE0" w14:textId="39077D45" w:rsidR="007A414B" w:rsidRDefault="007A414B" w:rsidP="007A414B">
      <w:pPr>
        <w:spacing w:before="120" w:after="120" w:line="240" w:lineRule="auto"/>
        <w:rPr>
          <w:rFonts w:ascii="Noto Sans" w:eastAsia="Times New Roman" w:hAnsi="Noto Sans" w:cs="Noto Sans"/>
          <w:sz w:val="22"/>
          <w:lang w:val="pt-PT"/>
        </w:rPr>
      </w:pPr>
      <w:r w:rsidRPr="007A414B">
        <w:rPr>
          <w:rFonts w:ascii="Noto Sans" w:eastAsia="Times New Roman" w:hAnsi="Noto Sans" w:cs="Noto Sans"/>
          <w:sz w:val="22"/>
          <w:lang w:val="pt-PT"/>
        </w:rPr>
        <w:t xml:space="preserve">A adoção de </w:t>
      </w:r>
      <w:hyperlink r:id="rId8" w:history="1">
        <w:r w:rsidRPr="007A414B">
          <w:rPr>
            <w:rStyle w:val="Hyperlink"/>
            <w:rFonts w:ascii="Noto Sans" w:eastAsia="Times New Roman" w:hAnsi="Noto Sans" w:cs="Noto Sans"/>
            <w:sz w:val="22"/>
            <w:lang w:val="pt-PT"/>
          </w:rPr>
          <w:t>ferramentas baseadas em dados</w:t>
        </w:r>
      </w:hyperlink>
      <w:r w:rsidRPr="007A414B">
        <w:rPr>
          <w:rFonts w:ascii="Noto Sans" w:eastAsia="Times New Roman" w:hAnsi="Noto Sans" w:cs="Noto Sans"/>
          <w:sz w:val="22"/>
          <w:lang w:val="pt-PT"/>
        </w:rPr>
        <w:t xml:space="preserve"> e a capacitação das suas equipas permitem aos fabricantes não só proteger as suas margens, mas também construir um negócio mais inteligente, mais rápido e mais robusto.</w:t>
      </w:r>
    </w:p>
    <w:p w14:paraId="74426953" w14:textId="77777777" w:rsidR="007A414B" w:rsidRPr="007A414B" w:rsidRDefault="007A414B" w:rsidP="007A414B">
      <w:pPr>
        <w:spacing w:before="120" w:after="120" w:line="240" w:lineRule="auto"/>
        <w:rPr>
          <w:rFonts w:ascii="Noto Sans" w:eastAsia="Times New Roman" w:hAnsi="Noto Sans" w:cs="Noto Sans"/>
          <w:sz w:val="22"/>
          <w:lang w:val="pt-BR"/>
        </w:rPr>
      </w:pPr>
    </w:p>
    <w:p w14:paraId="27CB98F0" w14:textId="1C0EE301" w:rsidR="007A414B" w:rsidRPr="007A414B" w:rsidRDefault="007A414B" w:rsidP="007A414B">
      <w:pPr>
        <w:spacing w:before="120" w:after="120" w:line="240" w:lineRule="auto"/>
        <w:rPr>
          <w:rFonts w:ascii="Noto Sans" w:eastAsia="Times New Roman" w:hAnsi="Noto Sans" w:cs="Noto Sans"/>
          <w:sz w:val="22"/>
          <w:lang w:val="pt-BR"/>
        </w:rPr>
      </w:pPr>
      <w:r>
        <w:rPr>
          <w:rFonts w:ascii="Noto Sans" w:eastAsia="Times New Roman" w:hAnsi="Noto Sans" w:cs="Noto Sans"/>
          <w:sz w:val="22"/>
          <w:lang w:val="pt-BR"/>
        </w:rPr>
        <w:t>FIM</w:t>
      </w:r>
    </w:p>
    <w:p w14:paraId="29B953BD" w14:textId="5FE99E15" w:rsidR="006C6C7C" w:rsidRPr="00FC465F" w:rsidRDefault="00D66051" w:rsidP="006C6C7C">
      <w:pPr>
        <w:spacing w:line="240" w:lineRule="auto"/>
        <w:rPr>
          <w:lang w:val="pt-BR"/>
        </w:rPr>
      </w:pPr>
      <w:r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Isenção de responsabilidade</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hAnsi="Noto Sans" w:cs="Noto Sans"/>
          <w:b/>
          <w:bCs/>
          <w:szCs w:val="18"/>
          <w:lang w:val="pt-PT"/>
        </w:rPr>
        <w:t>Tintas</w:t>
      </w:r>
      <w:r w:rsidR="006C6C7C" w:rsidRPr="0082657D">
        <w:rPr>
          <w:rFonts w:ascii="Noto Sans" w:hAnsi="Noto Sans" w:cs="Noto Sans"/>
          <w:szCs w:val="18"/>
          <w:lang w:val="pt-PT"/>
        </w:rPr>
        <w:br/>
      </w:r>
      <w:r w:rsidR="006C6C7C" w:rsidRPr="00FC465F">
        <w:rPr>
          <w:rFonts w:ascii="Noto Sans" w:hAnsi="Noto Sans" w:cs="Noto Sans"/>
          <w:szCs w:val="18"/>
          <w:lang w:val="pt-BR"/>
        </w:rPr>
        <w:t>As informações que se encontram no presente documento não devem substituir a realização dos testes adequados às suas circunstâncias e usos específicos. O grupo Domino não será, de forma alguma, responsável por qualquer tipo de confiança com base neste documento em relação à adequação de qualquer uma das nossas tintas para a sua aplicação em particular. O presente documento não faz parte de quaisquer termos e condições celebrados entre si o grupo Domino. Os Termos e Condições de venda da Domino, em particular as garantias e responsabilidades presentes nos mesmos, dever-se-ão aplicar a qualquer uma das suas compras de produtos.</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Geral</w:t>
      </w:r>
      <w:r w:rsidR="006C6C7C" w:rsidRPr="0082657D">
        <w:rPr>
          <w:rFonts w:ascii="Noto Sans" w:hAnsi="Noto Sans" w:cs="Noto Sans"/>
          <w:szCs w:val="18"/>
          <w:lang w:val="pt-PT"/>
        </w:rPr>
        <w:br/>
      </w:r>
      <w:r w:rsidR="006C6C7C" w:rsidRPr="00FC465F">
        <w:rPr>
          <w:rFonts w:ascii="Noto Sans" w:hAnsi="Noto Sans" w:cs="Noto Sans"/>
          <w:szCs w:val="18"/>
          <w:lang w:val="pt-BR"/>
        </w:rPr>
        <w:t>Todos os valores em termos de desempenho e alegações citados no presente documento foram obtidos sob condições específicas e apenas poderão ser repetidos sob condições semelhantes. Para obter detalhes específicos do produto, deve entrar em contacto com o seu Consultor Comercial da Domino. O presente documento não faz parte de quaisquer termos e condições celebrados entre si e a Domino.</w:t>
      </w:r>
      <w:r w:rsidR="00062E86" w:rsidRPr="00062E86">
        <w:rPr>
          <w:rFonts w:ascii="Noto Sans" w:hAnsi="Noto Sans" w:cs="Noto Sans"/>
          <w:szCs w:val="18"/>
          <w:lang w:val="pt-PT"/>
        </w:rPr>
        <w:t xml:space="preserve"> </w:t>
      </w:r>
      <w:r w:rsidR="00062E86"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Imagens</w:t>
      </w:r>
      <w:r w:rsidR="006C6C7C" w:rsidRPr="0082657D">
        <w:rPr>
          <w:rFonts w:ascii="Noto Sans" w:hAnsi="Noto Sans" w:cs="Noto Sans"/>
          <w:szCs w:val="18"/>
          <w:lang w:val="pt-PT"/>
        </w:rPr>
        <w:br/>
      </w:r>
      <w:r w:rsidR="006C6C7C" w:rsidRPr="00FC465F">
        <w:rPr>
          <w:rFonts w:ascii="Noto Sans" w:hAnsi="Noto Sans" w:cs="Noto Sans"/>
          <w:szCs w:val="18"/>
          <w:lang w:val="pt-BR"/>
        </w:rPr>
        <w:t>As imagens podem incluir melhorias ou extras opcionais. A qualidade de impressão pode variar de acordo com os consumíveis, o equipamento, a superfície e outros fatores. As imagens e fotografias não fazem parte de quaisquer termos e condições celebrados entre si e a</w:t>
      </w:r>
      <w:r w:rsidR="006C6C7C">
        <w:rPr>
          <w:rFonts w:ascii="Noto Sans" w:hAnsi="Noto Sans" w:cs="Noto Sans"/>
          <w:szCs w:val="18"/>
          <w:lang w:val="pt-BR"/>
        </w:rPr>
        <w:t xml:space="preserve"> </w:t>
      </w:r>
      <w:r w:rsidR="006C6C7C" w:rsidRPr="00FC465F">
        <w:rPr>
          <w:rFonts w:ascii="Noto Sans" w:hAnsi="Noto Sans" w:cs="Noto Sans"/>
          <w:szCs w:val="18"/>
          <w:lang w:val="pt-BR"/>
        </w:rPr>
        <w:t>Domino.</w:t>
      </w:r>
      <w:r w:rsidR="006C6C7C" w:rsidRPr="0082657D">
        <w:rPr>
          <w:rFonts w:ascii="Noto Sans" w:hAnsi="Noto Sans" w:cs="Noto Sans"/>
          <w:szCs w:val="18"/>
          <w:lang w:val="pt-PT"/>
        </w:rPr>
        <w:br/>
      </w:r>
      <w:r w:rsidR="006C6C7C" w:rsidRPr="0082657D">
        <w:rPr>
          <w:rFonts w:ascii="Noto Sans" w:hAnsi="Noto Sans" w:cs="Noto Sans"/>
          <w:szCs w:val="18"/>
          <w:lang w:val="pt-PT"/>
        </w:rPr>
        <w:br/>
      </w:r>
      <w:r w:rsidR="006C6C7C" w:rsidRPr="00AB22C5">
        <w:rPr>
          <w:rFonts w:ascii="Noto Sans" w:hAnsi="Noto Sans" w:cs="Noto Sans"/>
          <w:b/>
          <w:bCs/>
          <w:szCs w:val="18"/>
          <w:lang w:val="pt-PT"/>
        </w:rPr>
        <w:t>Vídeos</w:t>
      </w:r>
      <w:r w:rsidR="006C6C7C" w:rsidRPr="0082657D">
        <w:rPr>
          <w:rFonts w:ascii="Noto Sans" w:hAnsi="Noto Sans" w:cs="Noto Sans"/>
          <w:szCs w:val="18"/>
          <w:lang w:val="pt-PT"/>
        </w:rPr>
        <w:br/>
      </w:r>
      <w:r w:rsidR="006C6C7C" w:rsidRPr="00FC465F">
        <w:rPr>
          <w:rFonts w:ascii="Noto Sans" w:hAnsi="Noto Sans" w:cs="Noto Sans"/>
          <w:szCs w:val="18"/>
          <w:lang w:val="pt-BR"/>
        </w:rP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Domino.</w:t>
      </w:r>
      <w:r w:rsidR="006C6C7C" w:rsidRPr="0082657D">
        <w:rPr>
          <w:rFonts w:ascii="Noto Sans" w:hAnsi="Noto Sans" w:cs="Noto Sans"/>
          <w:szCs w:val="18"/>
          <w:lang w:val="pt-PT"/>
        </w:rPr>
        <w:br/>
      </w:r>
      <w:r w:rsidR="006C6C7C" w:rsidRPr="0082657D">
        <w:rPr>
          <w:rFonts w:ascii="Noto Sans" w:eastAsia="Gill Sans" w:hAnsi="Noto Sans" w:cs="Noto Sans"/>
          <w:szCs w:val="18"/>
          <w:lang w:val="pt-PT"/>
        </w:rPr>
        <w:br/>
      </w:r>
      <w:bookmarkStart w:id="0" w:name="_Hlk61949672"/>
      <w:r w:rsidR="006C6C7C" w:rsidRPr="0082657D">
        <w:rPr>
          <w:rFonts w:ascii="Noto Sans" w:eastAsia="Gill Sans" w:hAnsi="Noto Sans" w:cs="Noto Sans"/>
          <w:b/>
          <w:szCs w:val="18"/>
          <w:lang w:val="pt-PT"/>
        </w:rPr>
        <w:br/>
      </w:r>
      <w:r w:rsidR="006C6C7C" w:rsidRPr="00AB22C5">
        <w:rPr>
          <w:rFonts w:ascii="Noto Sans" w:eastAsia="Gill Sans" w:hAnsi="Noto Sans" w:cs="Noto Sans"/>
          <w:b/>
          <w:bCs/>
          <w:szCs w:val="18"/>
          <w:lang w:val="pt-PT"/>
        </w:rPr>
        <w:t>Notas para os editores:</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Acerca da Domino</w:t>
      </w:r>
      <w:r w:rsidR="006C6C7C" w:rsidRPr="0082657D">
        <w:rPr>
          <w:rFonts w:ascii="Noto Sans" w:eastAsia="Gill Sans" w:hAnsi="Noto Sans" w:cs="Noto Sans"/>
          <w:b/>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szCs w:val="18"/>
          <w:lang w:val="pt-PT"/>
        </w:rPr>
        <w:t>A Digital Printing Solutions é uma divisão da Domino Printing Sciences. Fundada em 1978, a empresa estabeleceu uma reputação global relativamente ao desenvolvimento e fabrico de tecnologias de impressão a jato de tinta digital, assim como aos seus produtos de pós-venda e ao atendimento ao cliente a nível mundial.  Os seus serviços para o setor de impressão comercial incluem impressoras digitais a jato de tinta e sistemas de controlo desenvolvidos para proporcionar soluções para uma gama completa de aplicações de impressão de dados variáveis e etiquetagem.</w:t>
      </w:r>
      <w:r w:rsidR="006C6C7C">
        <w:rPr>
          <w:rFonts w:ascii="Noto Sans" w:eastAsia="Gill Sans" w:hAnsi="Noto Sans" w:cs="Noto Sans"/>
          <w:szCs w:val="18"/>
          <w:lang w:val="pt-PT"/>
        </w:rPr>
        <w:br/>
      </w:r>
      <w:r w:rsidR="006C6C7C">
        <w:rPr>
          <w:rFonts w:ascii="Noto Sans" w:eastAsia="Gill Sans" w:hAnsi="Noto Sans" w:cs="Noto Sans"/>
          <w:szCs w:val="18"/>
          <w:lang w:val="pt-PT"/>
        </w:rPr>
        <w:br/>
      </w:r>
      <w:r w:rsidR="006C6C7C" w:rsidRPr="00AB22C5">
        <w:rPr>
          <w:rFonts w:ascii="Noto Sans" w:eastAsia="Gill Sans" w:hAnsi="Noto Sans" w:cs="Noto Sans"/>
          <w:szCs w:val="18"/>
          <w:lang w:val="pt-PT"/>
        </w:rPr>
        <w:t>Todas as impressoras da Domino são desenvolvidas para satisfazerem as exigências de alta velocidade e elevada qualidade em ambientes de impressão comercial, apresentando novas capacidades a diferentes setores, incluindo os da etiquetagem, publicações e impressão de segurança, transacional, conversão de embalagens, cartões plastificados, bilhetes, jogos de cartas e formulários, bem como os setores de publicidade endereçada e serviços postais.</w:t>
      </w:r>
      <w:r w:rsidR="006C6C7C">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FC465F">
        <w:rPr>
          <w:rFonts w:ascii="Noto Sans" w:eastAsia="Gill Sans" w:hAnsi="Noto Sans" w:cs="Noto Sans"/>
          <w:szCs w:val="18"/>
          <w:lang w:val="pt-BR"/>
        </w:rPr>
        <w:t xml:space="preserve">A Domino emprega mais de 3000 pessoas em todo mundo e comercializa para mais de 120 países através de uma rede global de 29 filiais e mais de 200 distribuidores. As instalações de fabrico da Domino estão </w:t>
      </w:r>
      <w:r w:rsidR="006C6C7C" w:rsidRPr="00FC465F">
        <w:rPr>
          <w:rFonts w:ascii="Noto Sans" w:eastAsia="Gill Sans" w:hAnsi="Noto Sans" w:cs="Noto Sans"/>
          <w:szCs w:val="18"/>
          <w:lang w:val="pt-BR"/>
        </w:rPr>
        <w:lastRenderedPageBreak/>
        <w:t>localizadas na Alemanha, China, EUA, Índia, Reino Unido, Suécia e Suíça. A Domino tornou-se uma divisão independente da Brother Industries Ltd. a 11 de junho de 2015.</w:t>
      </w:r>
      <w:r w:rsidR="006C6C7C" w:rsidRPr="0082657D">
        <w:rPr>
          <w:rFonts w:ascii="Noto Sans" w:eastAsia="Gill Sans" w:hAnsi="Noto Sans" w:cs="Noto Sans"/>
          <w:sz w:val="20"/>
          <w:szCs w:val="20"/>
          <w:lang w:val="pt-PT"/>
        </w:rPr>
        <w:br/>
      </w:r>
      <w:r w:rsidR="006C6C7C" w:rsidRPr="0082657D">
        <w:rPr>
          <w:rFonts w:ascii="Noto Sans" w:eastAsia="Gill Sans" w:hAnsi="Noto Sans" w:cs="Noto Sans"/>
          <w:sz w:val="20"/>
          <w:szCs w:val="20"/>
          <w:lang w:val="pt-PT"/>
        </w:rPr>
        <w:br/>
      </w:r>
      <w:r w:rsidR="006C6C7C" w:rsidRPr="00AB22C5">
        <w:rPr>
          <w:rFonts w:ascii="Noto Sans" w:eastAsia="Gill Sans" w:hAnsi="Noto Sans" w:cs="Noto Sans"/>
          <w:szCs w:val="18"/>
          <w:lang w:val="pt-PT"/>
        </w:rPr>
        <w:t xml:space="preserve">Para obter mais informações sobre a Domino, visite </w:t>
      </w:r>
      <w:hyperlink r:id="rId9" w:history="1">
        <w:r w:rsidR="006C6C7C" w:rsidRPr="00AB22C5">
          <w:rPr>
            <w:rStyle w:val="Hyperlink"/>
            <w:rFonts w:ascii="Noto Sans" w:eastAsia="Gill Sans" w:hAnsi="Noto Sans" w:cs="Noto Sans"/>
            <w:szCs w:val="18"/>
            <w:lang w:val="pt-PT"/>
          </w:rPr>
          <w:t>www.domino-printing.pt</w:t>
        </w:r>
      </w:hyperlink>
      <w:r w:rsidR="006C6C7C" w:rsidRPr="00AB22C5">
        <w:rPr>
          <w:rFonts w:ascii="Noto Sans" w:eastAsia="Gill Sans" w:hAnsi="Noto Sans" w:cs="Noto Sans"/>
          <w:szCs w:val="18"/>
          <w:lang w:val="pt-PT"/>
        </w:rPr>
        <w:t xml:space="preserve"> </w:t>
      </w:r>
      <w:r w:rsidR="006C6C7C" w:rsidRPr="0082657D">
        <w:rPr>
          <w:rFonts w:ascii="Noto Sans" w:eastAsia="Gill Sans" w:hAnsi="Noto Sans" w:cs="Noto Sans"/>
          <w:szCs w:val="18"/>
          <w:lang w:val="pt-PT"/>
        </w:rPr>
        <w:br/>
      </w:r>
      <w:r w:rsidR="006C6C7C" w:rsidRPr="0082657D">
        <w:rPr>
          <w:rFonts w:ascii="Noto Sans" w:eastAsia="Gill Sans" w:hAnsi="Noto Sans" w:cs="Noto Sans"/>
          <w:szCs w:val="18"/>
          <w:lang w:val="pt-PT"/>
        </w:rPr>
        <w:br/>
      </w:r>
      <w:r w:rsidR="006C6C7C" w:rsidRPr="00AB22C5">
        <w:rPr>
          <w:rFonts w:ascii="Noto Sans" w:eastAsia="Gill Sans" w:hAnsi="Noto Sans" w:cs="Noto Sans"/>
          <w:b/>
          <w:bCs/>
          <w:szCs w:val="18"/>
          <w:lang w:val="pt-PT"/>
        </w:rPr>
        <w:t>Para obter mais informações, contacte:</w:t>
      </w:r>
      <w:r w:rsidR="006C6C7C">
        <w:rPr>
          <w:rFonts w:ascii="Noto Sans" w:eastAsia="Gill Sans" w:hAnsi="Noto Sans" w:cs="Noto Sans"/>
          <w:b/>
          <w:bCs/>
          <w:szCs w:val="18"/>
          <w:lang w:val="pt-PT"/>
        </w:rPr>
        <w:br/>
      </w:r>
      <w:r w:rsidR="006C6C7C">
        <w:rPr>
          <w:rFonts w:ascii="Noto Sans" w:eastAsia="Gill Sans" w:hAnsi="Noto Sans" w:cs="Noto Sans"/>
          <w:b/>
          <w:bCs/>
          <w:szCs w:val="18"/>
          <w:lang w:val="pt-PT"/>
        </w:rPr>
        <w:br/>
      </w:r>
      <w:bookmarkEnd w:id="0"/>
      <w:r w:rsidR="006C6C7C" w:rsidRPr="00FC465F">
        <w:rPr>
          <w:rFonts w:ascii="Noto Sans" w:hAnsi="Noto Sans" w:cs="Noto Sans"/>
          <w:szCs w:val="18"/>
          <w:lang w:val="pt-BR"/>
        </w:rPr>
        <w:t>Kathrin Farr</w:t>
      </w:r>
      <w:r w:rsidR="006C6C7C" w:rsidRPr="00FC465F">
        <w:rPr>
          <w:rFonts w:ascii="Noto Sans" w:hAnsi="Noto Sans" w:cs="Noto Sans"/>
          <w:szCs w:val="18"/>
          <w:lang w:val="pt-BR"/>
        </w:rPr>
        <w:br/>
        <w:t>Content Executive (Digital Printing)</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t xml:space="preserve">Tel. : +44 (0) </w:t>
      </w:r>
      <w:hyperlink r:id="rId10" w:history="1">
        <w:r w:rsidR="006C6C7C"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1" w:history="1">
        <w:r w:rsidR="006C6C7C" w:rsidRPr="00FC465F">
          <w:rPr>
            <w:rStyle w:val="Hyperlink"/>
            <w:rFonts w:ascii="Noto Sans" w:hAnsi="Noto Sans" w:cs="Noto Sans"/>
            <w:szCs w:val="18"/>
            <w:lang w:val="pt-BR"/>
          </w:rPr>
          <w:t>Kathrin.Farr@domino-uk.com</w:t>
        </w:r>
      </w:hyperlink>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r>
      <w:r w:rsidR="006C6C7C" w:rsidRPr="00FC465F">
        <w:rPr>
          <w:rFonts w:ascii="Noto Sans" w:hAnsi="Noto Sans" w:cs="Noto Sans"/>
          <w:szCs w:val="18"/>
          <w:lang w:val="pt-BR"/>
        </w:rPr>
        <w:br/>
      </w:r>
      <w:r w:rsidR="000220DA">
        <w:rPr>
          <w:rFonts w:ascii="Noto Sans" w:hAnsi="Noto Sans" w:cs="Noto Sans"/>
          <w:szCs w:val="18"/>
          <w:lang w:val="pt-BR"/>
        </w:rPr>
        <w:t>Alex Challinor</w:t>
      </w:r>
      <w:r w:rsidR="006C6C7C" w:rsidRPr="00FC465F">
        <w:rPr>
          <w:rFonts w:ascii="Noto Sans" w:hAnsi="Noto Sans" w:cs="Noto Sans"/>
          <w:szCs w:val="18"/>
          <w:lang w:val="pt-BR"/>
        </w:rPr>
        <w:t xml:space="preserve"> </w:t>
      </w:r>
      <w:r w:rsidR="006C6C7C" w:rsidRPr="00FC465F">
        <w:rPr>
          <w:rFonts w:ascii="Noto Sans" w:hAnsi="Noto Sans" w:cs="Noto Sans"/>
          <w:szCs w:val="18"/>
          <w:lang w:val="pt-BR"/>
        </w:rPr>
        <w:br/>
        <w:t xml:space="preserve">PR and Content Manager </w:t>
      </w:r>
      <w:r w:rsidR="006C6C7C" w:rsidRPr="00FC465F">
        <w:rPr>
          <w:rFonts w:ascii="Noto Sans" w:hAnsi="Noto Sans" w:cs="Noto Sans"/>
          <w:szCs w:val="18"/>
          <w:lang w:val="pt-BR"/>
        </w:rPr>
        <w:br/>
        <w:t xml:space="preserve">Domino Printing Sciences </w:t>
      </w:r>
      <w:r w:rsidR="006C6C7C" w:rsidRPr="00FC465F">
        <w:rPr>
          <w:rFonts w:ascii="Noto Sans" w:hAnsi="Noto Sans" w:cs="Noto Sans"/>
          <w:szCs w:val="18"/>
          <w:lang w:val="pt-BR"/>
        </w:rPr>
        <w:br/>
      </w:r>
      <w:r w:rsidR="000220DA" w:rsidRPr="00FC465F">
        <w:rPr>
          <w:rFonts w:ascii="Noto Sans" w:hAnsi="Noto Sans" w:cs="Noto Sans"/>
          <w:szCs w:val="18"/>
          <w:lang w:val="pt-BR"/>
        </w:rPr>
        <w:t xml:space="preserve">Tel. : +44 (0) </w:t>
      </w:r>
      <w:hyperlink r:id="rId12" w:history="1">
        <w:r w:rsidR="000220DA" w:rsidRPr="00FC465F">
          <w:rPr>
            <w:rFonts w:ascii="Noto Sans" w:hAnsi="Noto Sans" w:cs="Noto Sans"/>
            <w:szCs w:val="18"/>
            <w:lang w:val="pt-BR"/>
          </w:rPr>
          <w:t>1954 782 551</w:t>
        </w:r>
      </w:hyperlink>
      <w:r w:rsidR="006C6C7C" w:rsidRPr="00FC465F">
        <w:rPr>
          <w:rFonts w:ascii="Noto Sans" w:hAnsi="Noto Sans" w:cs="Noto Sans"/>
          <w:szCs w:val="18"/>
          <w:lang w:val="pt-BR"/>
        </w:rPr>
        <w:br/>
      </w:r>
      <w:hyperlink r:id="rId13" w:history="1">
        <w:r w:rsidR="000220DA" w:rsidRPr="008E5CFD">
          <w:rPr>
            <w:rStyle w:val="Hyperlink"/>
            <w:rFonts w:ascii="Noto Sans" w:hAnsi="Noto Sans" w:cs="Noto Sans"/>
            <w:szCs w:val="18"/>
            <w:lang w:val="pt-BR"/>
          </w:rPr>
          <w:t>Alex.Challinor@domino-uk.com</w:t>
        </w:r>
      </w:hyperlink>
    </w:p>
    <w:sectPr w:rsidR="006C6C7C" w:rsidRPr="00FC465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CEFB" w14:textId="77777777" w:rsidR="00062E86" w:rsidRDefault="00062E86" w:rsidP="00785717">
      <w:pPr>
        <w:spacing w:line="240" w:lineRule="auto"/>
      </w:pPr>
      <w:r>
        <w:separator/>
      </w:r>
    </w:p>
  </w:endnote>
  <w:endnote w:type="continuationSeparator" w:id="0">
    <w:p w14:paraId="22E08126" w14:textId="77777777" w:rsidR="00062E86" w:rsidRDefault="00062E8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CA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2678" w14:textId="77777777" w:rsidR="00785717" w:rsidRDefault="000F6D00" w:rsidP="00785717">
    <w:pPr>
      <w:pStyle w:val="Footer"/>
    </w:pPr>
    <w:r>
      <w:rPr>
        <w:noProof/>
      </w:rPr>
      <w:drawing>
        <wp:anchor distT="0" distB="0" distL="114300" distR="114300" simplePos="0" relativeHeight="251659264" behindDoc="0" locked="0" layoutInCell="1" allowOverlap="1" wp14:anchorId="157C21E0" wp14:editId="562C3EA1">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A6B7F6D" wp14:editId="090469BE">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63D8"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1CB7" w14:textId="77777777" w:rsidR="00062E86" w:rsidRDefault="00062E86" w:rsidP="00785717">
      <w:pPr>
        <w:spacing w:line="240" w:lineRule="auto"/>
      </w:pPr>
      <w:r>
        <w:separator/>
      </w:r>
    </w:p>
  </w:footnote>
  <w:footnote w:type="continuationSeparator" w:id="0">
    <w:p w14:paraId="61872927" w14:textId="77777777" w:rsidR="00062E86" w:rsidRDefault="00062E8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F32C"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BD58" w14:textId="77777777" w:rsidR="000F6D00" w:rsidRDefault="002766D9">
    <w:pPr>
      <w:pStyle w:val="Header"/>
    </w:pPr>
    <w:r>
      <w:rPr>
        <w:noProof/>
      </w:rPr>
      <w:drawing>
        <wp:anchor distT="0" distB="0" distL="114300" distR="114300" simplePos="0" relativeHeight="251661312" behindDoc="0" locked="0" layoutInCell="1" allowOverlap="1" wp14:anchorId="1A046442" wp14:editId="3586F54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A8D0"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86"/>
    <w:rsid w:val="0002201E"/>
    <w:rsid w:val="000220DA"/>
    <w:rsid w:val="00062E86"/>
    <w:rsid w:val="000F6D00"/>
    <w:rsid w:val="001D743C"/>
    <w:rsid w:val="002202E3"/>
    <w:rsid w:val="00240801"/>
    <w:rsid w:val="002766D9"/>
    <w:rsid w:val="00372E92"/>
    <w:rsid w:val="003C7663"/>
    <w:rsid w:val="004C6703"/>
    <w:rsid w:val="005272B1"/>
    <w:rsid w:val="005524DB"/>
    <w:rsid w:val="005741C7"/>
    <w:rsid w:val="00581FEB"/>
    <w:rsid w:val="005E6C45"/>
    <w:rsid w:val="00647055"/>
    <w:rsid w:val="00660F46"/>
    <w:rsid w:val="006C6C7C"/>
    <w:rsid w:val="00785717"/>
    <w:rsid w:val="00791A4F"/>
    <w:rsid w:val="007A414B"/>
    <w:rsid w:val="007D2B85"/>
    <w:rsid w:val="008220B7"/>
    <w:rsid w:val="00823B77"/>
    <w:rsid w:val="008916A8"/>
    <w:rsid w:val="008B6461"/>
    <w:rsid w:val="008E5E0C"/>
    <w:rsid w:val="008F3E38"/>
    <w:rsid w:val="00931996"/>
    <w:rsid w:val="009A1716"/>
    <w:rsid w:val="009A1DEC"/>
    <w:rsid w:val="009D6280"/>
    <w:rsid w:val="009E5D98"/>
    <w:rsid w:val="00A34918"/>
    <w:rsid w:val="00AB11DA"/>
    <w:rsid w:val="00B23C3C"/>
    <w:rsid w:val="00B546C5"/>
    <w:rsid w:val="00B86660"/>
    <w:rsid w:val="00BC7C15"/>
    <w:rsid w:val="00BD07B6"/>
    <w:rsid w:val="00C03CCC"/>
    <w:rsid w:val="00C063FE"/>
    <w:rsid w:val="00C44603"/>
    <w:rsid w:val="00C541FE"/>
    <w:rsid w:val="00CF1AD5"/>
    <w:rsid w:val="00D66051"/>
    <w:rsid w:val="00DA3BF8"/>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A8D"/>
  <w15:chartTrackingRefBased/>
  <w15:docId w15:val="{0744B455-9F66-4FBC-BC8C-126425E9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7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controllers/sunrise-dfe?noredirect=true&amp;utm_medium=non-paid&amp;utm_source=onlinepublication&amp;utm_content=pr-smarter-quotes&amp;utm_campaign=2025-int-pt-Global-PR-DP-FY25-Q4" TargetMode="External"/><Relationship Id="rId13" Type="http://schemas.openxmlformats.org/officeDocument/2006/relationships/hyperlink" Target="mailto:Alex.Challino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en/blog/2025/the-right-press-for-the-job?noredirect=true&amp;utm_medium=non-paid&amp;utm_source=onlinepublication&amp;utm_content=pr-smarter-quotes&amp;utm_campaign=2025-int-pt-Global-PR-DP-FY25-Q4"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pt/blog/2025/alem-do-custo-por-etiqueta?utm_medium=non-paid&amp;utm_source=onlinepublication&amp;utm_content=pr-smarter-quotes&amp;utm_campaign=2025-int-pt-Global-PR-DP-FY25-Q4"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p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PT Template - AC</Template>
  <TotalTime>8</TotalTime>
  <Pages>4</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2026-01-29T10:43:00Z</dcterms:created>
  <dcterms:modified xsi:type="dcterms:W3CDTF">2026-01-29T10:43:00Z</dcterms:modified>
</cp:coreProperties>
</file>