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before="360" w:line="240" w:lineRule="auto"/>
        <w:jc w:val="center"/>
        <w:rPr>
          <w:rFonts w:ascii="Arial" w:cs="Arial" w:eastAsia="Arial" w:hAnsi="Arial"/>
          <w:smallCaps w:val="0"/>
          <w:color w:val="000000"/>
          <w:sz w:val="34"/>
          <w:szCs w:val="34"/>
        </w:rPr>
      </w:pPr>
      <w:bookmarkStart w:colFirst="0" w:colLast="0" w:name="_heading=h.wpsy0voa2dj" w:id="0"/>
      <w:bookmarkEnd w:id="0"/>
      <w:r w:rsidDel="00000000" w:rsidR="00000000" w:rsidRPr="00000000">
        <w:rPr>
          <w:rFonts w:ascii="Arial" w:cs="Arial" w:eastAsia="Arial" w:hAnsi="Arial"/>
          <w:smallCaps w:val="0"/>
          <w:color w:val="000000"/>
          <w:sz w:val="22"/>
          <w:szCs w:val="22"/>
          <w:rtl w:val="0"/>
        </w:rPr>
        <w:t xml:space="preserve">Rolls-Royce wybiera Kraków i otwiera Global Capability Centre w Unity Tower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50.0" w:type="dxa"/>
        <w:jc w:val="left"/>
        <w:tblInd w:w="-9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750"/>
        <w:tblGridChange w:id="0">
          <w:tblGrid>
            <w:gridCol w:w="9750"/>
          </w:tblGrid>
        </w:tblGridChange>
      </w:tblGrid>
      <w:tr>
        <w:trPr>
          <w:cantSplit w:val="0"/>
          <w:trHeight w:val="204.90234374999977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Globalna firma Rolls-Royce, działająca m.in. w sektorach lotnictwa, energetyki oraz obronności, wynajęła ponad 2165 mkw. powierzchni biurowej w Unity Tower – jednym z najbardziej rozpoznawalnych biurowców w Krakowie. W nowej lokalizacji powstało Global Capability Centre (GCC). Wynajmującym jest UNIQA Real Estate, a najemcy w procesie transakcji doradzali eksperci międzynarodowej agencji doradczej Cushman &amp; Wakefield.</w:t>
            </w:r>
          </w:p>
        </w:tc>
      </w:tr>
    </w:tbl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700180293"/>
        <w:tag w:val="goog_rdk_0"/>
      </w:sdtPr>
      <w:sdtContent>
        <w:tbl>
          <w:tblPr>
            <w:tblStyle w:val="Table2"/>
            <w:tblW w:w="9690.0" w:type="dxa"/>
            <w:jc w:val="left"/>
            <w:tblInd w:w="-105.0" w:type="dxa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400"/>
          </w:tblPr>
          <w:tblGrid>
            <w:gridCol w:w="9690"/>
            <w:tblGridChange w:id="0">
              <w:tblGrid>
                <w:gridCol w:w="9690"/>
              </w:tblGrid>
            </w:tblGridChange>
          </w:tblGrid>
          <w:tr>
            <w:trPr>
              <w:cantSplit w:val="0"/>
              <w:trHeight w:val="1380" w:hRule="atLeast"/>
              <w:tblHeader w:val="0"/>
            </w:trPr>
            <w:tc>
              <w:tcPr/>
              <w:p w:rsidR="00000000" w:rsidDel="00000000" w:rsidP="00000000" w:rsidRDefault="00000000" w:rsidRPr="00000000" w14:paraId="00000006">
                <w:pPr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Nowe centrum będzie pełnić funkcję europejskiej bazy Rolls-Royce’a dla Global Business Services (GBS). GCC będzie wspierać kluczowe obszary działalności grupy, w tym finanse, zakupy, obsługę pracowników, analitykę danych oraz zarządzanie projektami. Centrum dostarczy usługi biznesowe na rzecz operacji Rolls-Royce’a w skali globalnej, stawiając na współpracę, rozwój kompetencji i przyciąganie talentów z całego regionu.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7">
                <w:pPr>
                  <w:jc w:val="both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„Otwarcie Global Capability Centre w Krakowie to kolejny istotny krok w transformacji Rolls-Royce’a. Nowa lokalizacja będzie pełnić rolę centrum kompetencyjnego, umożliwiając uproszczenie i standaryzację procesów oraz tworzenie dodatkowej wartości dla całej organizacji. To także potwierdzenie naszego długofalowego zaangażowania w regionie oraz zaufania do potencjału rozwoju w Polsce i Europie.”, mówi </w:t>
                </w: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Rafał Tylek, Centre Head, SVP Poland, przedstawiciel Rolls-Royce’a.</w:t>
                </w:r>
              </w:p>
              <w:p w:rsidR="00000000" w:rsidDel="00000000" w:rsidP="00000000" w:rsidRDefault="00000000" w:rsidRPr="00000000" w14:paraId="00000008">
                <w:pPr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9">
                <w:pPr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Decyzja o wyborze Unity Tower była poprzedzona szczegółową analizą potrzeb najemcy. Budynek spełniał zarówno aktualne wymagania operacyjne, jak i plany dalszego rozwoju organizacji.</w:t>
                </w:r>
              </w:p>
              <w:p w:rsidR="00000000" w:rsidDel="00000000" w:rsidP="00000000" w:rsidRDefault="00000000" w:rsidRPr="00000000" w14:paraId="0000000A">
                <w:pPr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B">
                <w:pPr>
                  <w:jc w:val="both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„Określenie priorytetów najemcy było kluczowe w procesie poszukiwania odpowiedniego biurowca dla Rolls-Royce. Za wyborem Unity Tower przemawiały m.in. lokalizacja w ścisłym centrum Krakowa, ikoniczny charakter budynku, komplementarna oferta usług w ramach kompleksu oraz potencjał dalszego rozwoju powierzchni w trakcie trwania umowy najmu. Ważny był też wysoki standard techniczny i elastyczność powierzchni. Finalizacja transakcji potwierdza atrakcyjność Krakowa dla globalnych organizacji.”, mówi </w:t>
                </w: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Dariusz Madej, Associate, Office Department, Cushman &amp; Wakefield.</w:t>
                </w:r>
              </w:p>
              <w:p w:rsidR="00000000" w:rsidDel="00000000" w:rsidP="00000000" w:rsidRDefault="00000000" w:rsidRPr="00000000" w14:paraId="0000000C">
                <w:pPr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D">
                <w:pPr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Unity Tower to 27-kondygnacyjny, mierzący 102,5 metra wysokości budynek, co czyni go jednym z najwyższych w Krakowie. Sąsiadują z nim dwa niższe budynki biurowe – Unity Square One i Unity Square Two – a także budynek Radisson RED Apartments oraz czterogwiazdkowy hotel sieci Radisson RED.</w:t>
                </w:r>
              </w:p>
              <w:p w:rsidR="00000000" w:rsidDel="00000000" w:rsidP="00000000" w:rsidRDefault="00000000" w:rsidRPr="00000000" w14:paraId="0000000E">
                <w:pPr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F">
                <w:pPr>
                  <w:jc w:val="both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„W Unity Centre, podobnie jak w innych naszych projektach, skupiamy się na potrzebach naszych najemców po to, aby zbudować z nimi długotrwałe relacje, oferując najlepszą powierzchnię, jaką możemy zapewnić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–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zarówno pod względem jej jakości i parametrów technicznych, jak i dodatkowych usług dostępnych w kompleksie – obejmujących, między innymi liczne restauracje, kawiarnię, hotel czy też sklepy i punkty usługowe. Jesteśmy bardzo dumni, że Rolls-Royce wybrał Unity Tower </w:t>
                </w: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–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najbardziej rozpoznawalny budynek wchodzący w skład Unity Centre – jednego z największych, wielofunkcyjnych centrów biznesowych w Krakowie. Decyzja tego giganta o wyborze naszego kompleksu, jako swojej krakowskiej siedziby potwierdza po raz kolejny, że Unity spełnia oczekiwania międzynarodowych firm poszukujących nowoczesnych, elastycznych przestrzeni biurowych.”, mówi </w:t>
                </w: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Włodzimierz Jędruszak, Leasing and Marketing Director w UREM Polska – firmie zarządzającej portfelem UNIQA Real Estate.</w:t>
                </w:r>
              </w:p>
              <w:p w:rsidR="00000000" w:rsidDel="00000000" w:rsidP="00000000" w:rsidRDefault="00000000" w:rsidRPr="00000000" w14:paraId="00000010">
                <w:pPr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1">
                <w:pPr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Wybór Krakowa nie był przypadkowy – przedstawiciele Rolls-Royce’a wskazują, jakie czynniki przesądziły o wyborze tego miasta jako lokalizacji nowego centrum.</w:t>
                </w:r>
              </w:p>
              <w:p w:rsidR="00000000" w:rsidDel="00000000" w:rsidP="00000000" w:rsidRDefault="00000000" w:rsidRPr="00000000" w14:paraId="00000012">
                <w:pPr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3">
                <w:pPr>
                  <w:jc w:val="both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„Kraków od lat konsekwentnie buduje swoją pozycję jako jeden z kluczowych hubów dla działalności operacyjnej i technologicznej międzynarodowych firm. Dostęp do wysoko wykwalifikowanych specjalistów, silne zaplecze akademickie oraz rozwinięta infrastruktura sprawiają, że miasto naturalnie wpisuje się w strategię działań Rolls-Royce’a w Europie. W Polsce planujemy rozwój kompetencji w ramach ścisłej współpracy z przemysłem i środowiskiem akademickim, a także inwestycje w lokalną społeczność poprzez partnerstwa wspierające życie biznesowe i obywatelskie w Krakowie”, dodaje </w:t>
                </w: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Rafał Tylek.</w:t>
                </w:r>
              </w:p>
              <w:p w:rsidR="00000000" w:rsidDel="00000000" w:rsidP="00000000" w:rsidRDefault="00000000" w:rsidRPr="00000000" w14:paraId="00000014">
                <w:pPr>
                  <w:jc w:val="both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5">
                <w:pPr>
                  <w:pStyle w:val="Heading3"/>
                  <w:jc w:val="both"/>
                  <w:rPr>
                    <w:b w:val="1"/>
                    <w:bCs w:val="1"/>
                    <w:sz w:val="22"/>
                    <w:szCs w:val="22"/>
                  </w:rPr>
                </w:pPr>
                <w:bookmarkStart w:colFirst="0" w:colLast="0" w:name="_heading=h.nj571n9d73pn" w:id="1"/>
                <w:bookmarkEnd w:id="1"/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000000"/>
                    <w:sz w:val="20"/>
                    <w:szCs w:val="20"/>
                    <w:rtl w:val="0"/>
                  </w:rPr>
                  <w:t xml:space="preserve">Polska na mapie strategicznych inwestycji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6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7">
                <w:pPr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Znaczenie tej transakcji wpisuje się w szersze trendy rynkowe. Jak wynika z raportu Cushman &amp; Wakefield „Strategic Sector Signals”, Polska znalazła się w gronie zaledwie siedmiu europejskich krajów uznanych za lokalizacje o silnym potencjale wzrostu dla inwestycji w strategiczne branże, obejmujące sektor obronności, technologie czystej energii, surowce krytyczne oraz life sciences.</w:t>
                </w:r>
              </w:p>
              <w:p w:rsidR="00000000" w:rsidDel="00000000" w:rsidP="00000000" w:rsidRDefault="00000000" w:rsidRPr="00000000" w14:paraId="00000018">
                <w:pPr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9">
                <w:pPr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Rosnące inwestycje państw europejskich w tych obszarach stają się istotnym motorem popytu na nieruchomości – zarówno przemysłowo-magazynowe, jak i biurowe – w szczególności te, które wspierają działalność badawczo-rozwojową, inżynieryjną i operacyjną.</w:t>
                </w:r>
              </w:p>
              <w:p w:rsidR="00000000" w:rsidDel="00000000" w:rsidP="00000000" w:rsidRDefault="00000000" w:rsidRPr="00000000" w14:paraId="0000001A">
                <w:pPr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B">
                <w:pPr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Wysoki potencjał wzrostu polskiego rynku wynika z konsekwentnie budowanej pozycji kraju jako stabilnej i atrakcyjnej lokalizacji dla działalności w sektorach kluczowych dla gospodarki i bezpieczeństwa regionu. Nie chodzi tylko o skalę rynku czy strategiczne położenie geograficzne, ale także o szeroko zakrojone inwestycje infrastrukturalne – od Centralnego Portu Komunikacyjnego po transeuropejskie korytarze logistyczne, jak Via Carpatia czy Rail Baltica – które wzmacniają konkurencyjność Polski na tle innych lokalizacji w Europie.</w:t>
                </w:r>
              </w:p>
            </w:tc>
          </w:tr>
        </w:tbl>
      </w:sdtContent>
    </w:sdt>
    <w:p w:rsidR="00000000" w:rsidDel="00000000" w:rsidP="00000000" w:rsidRDefault="00000000" w:rsidRPr="00000000" w14:paraId="0000001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O Cushman &amp; Wakefield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Cushman &amp; Wakefield (NYSE: CWK) jest wiodącą na świecie firmą świadczącą usługi na rzecz właścicieli i najemców nieruchomości komercyjnych. Zatrudnia ok. 52 tys. pracowników w niemal 400 biurach i 60 krajach na całym świecie. W 2024 roku jej przychody wyniosły 9,4 mld USD. Do najważniejszych usług świadczonych przez firmę należą m.in. zarządzanie nieruchomościami, obiektami i projektami, pośrednictwo w wynajmie powierzchni, obsługa transakcji na rynkach kapitałowych oraz wyceny. Za nieustanne dążenie do doskonałości zgodnie z zasadą 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Better never settles</w:t>
      </w:r>
      <w:r w:rsidDel="00000000" w:rsidR="00000000" w:rsidRPr="00000000">
        <w:rPr>
          <w:sz w:val="16"/>
          <w:szCs w:val="16"/>
          <w:rtl w:val="0"/>
        </w:rPr>
        <w:t xml:space="preserve"> Cushman &amp; Wakefield otrzymuje wiele wyróżnień oraz nagród w konkursach branżowych i biznesowych. Dodatkowe informacje na stronie </w:t>
      </w:r>
      <w:hyperlink r:id="rId7">
        <w:r w:rsidDel="00000000" w:rsidR="00000000" w:rsidRPr="00000000">
          <w:rPr>
            <w:color w:val="4472c4"/>
            <w:sz w:val="16"/>
            <w:szCs w:val="16"/>
            <w:u w:val="single"/>
            <w:rtl w:val="0"/>
          </w:rPr>
          <w:t xml:space="preserve">www.cushmanwakefield.com</w:t>
        </w:r>
      </w:hyperlink>
      <w:r w:rsidDel="00000000" w:rsidR="00000000" w:rsidRPr="00000000">
        <w:rPr>
          <w:sz w:val="16"/>
          <w:szCs w:val="16"/>
          <w:rtl w:val="0"/>
        </w:rPr>
        <w:t xml:space="preserve">.</w:t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9" w:w="11907" w:orient="portrait"/>
      <w:pgMar w:bottom="2880" w:top="3600" w:left="1224" w:right="1008" w:header="180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9000.0" w:type="dxa"/>
      <w:jc w:val="left"/>
      <w:tblLayout w:type="fixed"/>
      <w:tblLook w:val="0400"/>
    </w:tblPr>
    <w:tblGrid>
      <w:gridCol w:w="9000"/>
      <w:tblGridChange w:id="0">
        <w:tblGrid>
          <w:gridCol w:w="9000"/>
        </w:tblGrid>
      </w:tblGridChange>
    </w:tblGrid>
    <w:tr>
      <w:trPr>
        <w:cantSplit w:val="0"/>
        <w:trHeight w:val="630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23">
          <w:pPr>
            <w:pStyle w:val="Heading2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rtl w:val="0"/>
            </w:rPr>
            <w:t xml:space="preserve">Dodatkowe informacje:</w:t>
          </w:r>
        </w:p>
      </w:tc>
    </w:tr>
    <w:tr>
      <w:trPr>
        <w:cantSplit w:val="0"/>
        <w:trHeight w:val="1260" w:hRule="atLeast"/>
        <w:tblHeader w:val="0"/>
      </w:trPr>
      <w:tc>
        <w:tcPr/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4"/>
            <w:tblW w:w="8999.999999999998" w:type="dxa"/>
            <w:jc w:val="left"/>
            <w:tblLayout w:type="fixed"/>
            <w:tblLook w:val="04A0"/>
          </w:tblPr>
          <w:tblGrid>
            <w:gridCol w:w="8564"/>
            <w:gridCol w:w="218"/>
            <w:gridCol w:w="218"/>
            <w:tblGridChange w:id="0">
              <w:tblGrid>
                <w:gridCol w:w="8564"/>
                <w:gridCol w:w="218"/>
                <w:gridCol w:w="218"/>
              </w:tblGrid>
            </w:tblGridChange>
          </w:tblGrid>
          <w:tr>
            <w:trPr>
              <w:cantSplit w:val="0"/>
              <w:trHeight w:val="1164" w:hRule="atLeast"/>
              <w:tblHeader w:val="0"/>
            </w:trPr>
            <w:tc>
              <w:tcPr/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tbl>
                <w:tblPr>
                  <w:tblStyle w:val="Table5"/>
                  <w:tblW w:w="24344.0" w:type="dxa"/>
                  <w:jc w:val="left"/>
                  <w:tblInd w:w="27.0" w:type="dxa"/>
                  <w:tbl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  <w:insideH w:color="000000" w:space="0" w:sz="0" w:val="nil"/>
                    <w:insideV w:color="000000" w:space="0" w:sz="0" w:val="nil"/>
                  </w:tblBorders>
                  <w:tblLayout w:type="fixed"/>
                  <w:tblLook w:val="0400"/>
                </w:tblPr>
                <w:tblGrid>
                  <w:gridCol w:w="6086"/>
                  <w:gridCol w:w="6086"/>
                  <w:gridCol w:w="6086"/>
                  <w:gridCol w:w="6086"/>
                  <w:tblGridChange w:id="0">
                    <w:tblGrid>
                      <w:gridCol w:w="6086"/>
                      <w:gridCol w:w="6086"/>
                      <w:gridCol w:w="6086"/>
                      <w:gridCol w:w="6086"/>
                    </w:tblGrid>
                  </w:tblGridChange>
                </w:tblGrid>
                <w:tr>
                  <w:trPr>
                    <w:cantSplit w:val="0"/>
                    <w:trHeight w:val="738" w:hRule="atLeast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26">
                      <w:pPr>
                        <w:keepNext w:val="1"/>
                        <w:keepLines w:val="1"/>
                        <w:pageBreakBefore w:val="0"/>
                        <w:widowControl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b w:val="1"/>
                          <w:bCs w:val="1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1"/>
                          <w:bCs w:val="1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  <w:rtl w:val="0"/>
                        </w:rPr>
                        <w:t xml:space="preserve">Karolina Samczyńska-Fiślak</w:t>
                      </w:r>
                    </w:p>
                    <w:p w:rsidR="00000000" w:rsidDel="00000000" w:rsidP="00000000" w:rsidRDefault="00000000" w:rsidRPr="00000000" w14:paraId="00000027">
                      <w:pPr>
                        <w:keepNext w:val="1"/>
                        <w:keepLines w:val="1"/>
                        <w:pageBreakBefore w:val="0"/>
                        <w:widowControl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  <w:rtl w:val="0"/>
                        </w:rPr>
                        <w:t xml:space="preserve">Cushman &amp; Wakefield </w:t>
                      </w:r>
                    </w:p>
                    <w:p w:rsidR="00000000" w:rsidDel="00000000" w:rsidP="00000000" w:rsidRDefault="00000000" w:rsidRPr="00000000" w14:paraId="00000028">
                      <w:pPr>
                        <w:rPr>
                          <w:rFonts w:ascii="Calibri" w:cs="Calibri" w:eastAsia="Calibri" w:hAnsi="Calibri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color w:val="696b6b"/>
                          <w:sz w:val="18"/>
                          <w:szCs w:val="18"/>
                          <w:u w:val="none"/>
                          <w:rtl w:val="0"/>
                        </w:rPr>
                        <w:t xml:space="preserve">Tel: + 48 22 820 20 20; 691 060 202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  <w:p w:rsidR="00000000" w:rsidDel="00000000" w:rsidP="00000000" w:rsidRDefault="00000000" w:rsidRPr="00000000" w14:paraId="00000029">
                      <w:pPr>
                        <w:keepNext w:val="1"/>
                        <w:keepLines w:val="1"/>
                        <w:pageBreakBefore w:val="0"/>
                        <w:widowControl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tabs>
                          <w:tab w:val="right" w:leader="none" w:pos="4688"/>
                        </w:tabs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b w:val="1"/>
                          <w:bCs w:val="1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1"/>
                          <w:bCs w:val="1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  <w:rtl w:val="0"/>
                        </w:rPr>
                        <w:t xml:space="preserve">e-mail: </w:t>
                      </w:r>
                      <w:hyperlink r:id="rId1">
                        <w:r w:rsidDel="00000000" w:rsidR="00000000" w:rsidRPr="00000000">
                          <w:rPr>
                            <w:rFonts w:ascii="Calibri" w:cs="Calibri" w:eastAsia="Calibri" w:hAnsi="Calibri"/>
                            <w:b w:val="1"/>
                            <w:bCs w:val="1"/>
                            <w:i w:val="0"/>
                            <w:iCs w:val="0"/>
                            <w:smallCaps w:val="0"/>
                            <w:strike w:val="0"/>
                            <w:color w:val="008b98"/>
                            <w:sz w:val="18"/>
                            <w:szCs w:val="18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media.poland@cushwake.pl</w:t>
                        </w:r>
                      </w:hyperlink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A">
                      <w:pPr>
                        <w:keepNext w:val="0"/>
                        <w:keepLines w:val="0"/>
                        <w:pageBreakBefore w:val="0"/>
                        <w:widowControl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B">
                      <w:pPr>
                        <w:keepNext w:val="1"/>
                        <w:keepLines w:val="1"/>
                        <w:pageBreakBefore w:val="0"/>
                        <w:widowControl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b w:val="1"/>
                          <w:bCs w:val="1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C">
                      <w:pPr>
                        <w:keepNext w:val="1"/>
                        <w:keepLines w:val="1"/>
                        <w:pageBreakBefore w:val="0"/>
                        <w:widowControl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b w:val="1"/>
                          <w:bCs w:val="1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0"/>
                    <w:bCs w:val="0"/>
                    <w:i w:val="0"/>
                    <w:iCs w:val="0"/>
                    <w:smallCaps w:val="0"/>
                    <w:strike w:val="0"/>
                    <w:color w:val="696b6b"/>
                    <w:sz w:val="18"/>
                    <w:szCs w:val="18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  <w:p w:rsidR="00000000" w:rsidDel="00000000" w:rsidP="00000000" w:rsidRDefault="00000000" w:rsidRPr="00000000" w14:paraId="0000003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6"/>
      <w:tblW w:w="9000.0" w:type="dxa"/>
      <w:jc w:val="left"/>
      <w:tblLayout w:type="fixed"/>
      <w:tblLook w:val="0400"/>
    </w:tblPr>
    <w:tblGrid>
      <w:gridCol w:w="5670"/>
      <w:gridCol w:w="3330"/>
      <w:tblGridChange w:id="0">
        <w:tblGrid>
          <w:gridCol w:w="5670"/>
          <w:gridCol w:w="3330"/>
        </w:tblGrid>
      </w:tblGridChange>
    </w:tblGrid>
    <w:tr>
      <w:trPr>
        <w:cantSplit w:val="0"/>
        <w:trHeight w:val="630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34">
          <w:pPr>
            <w:pStyle w:val="Heading2"/>
            <w:rPr>
              <w:rFonts w:ascii="Arial" w:cs="Arial" w:eastAsia="Arial" w:hAnsi="Arial"/>
              <w:color w:val="696b6b"/>
            </w:rPr>
          </w:pPr>
          <w:r w:rsidDel="00000000" w:rsidR="00000000" w:rsidRPr="00000000">
            <w:rPr>
              <w:rFonts w:ascii="Arial" w:cs="Arial" w:eastAsia="Arial" w:hAnsi="Arial"/>
              <w:color w:val="696b6b"/>
              <w:rtl w:val="0"/>
            </w:rPr>
            <w:t xml:space="preserve">Media Contact:</w:t>
          </w:r>
        </w:p>
      </w:tc>
      <w:tc>
        <w:tcPr>
          <w:vAlign w:val="bottom"/>
        </w:tcPr>
        <w:p w:rsidR="00000000" w:rsidDel="00000000" w:rsidP="00000000" w:rsidRDefault="00000000" w:rsidRPr="00000000" w14:paraId="00000035">
          <w:pPr>
            <w:spacing w:after="100" w:line="240" w:lineRule="auto"/>
            <w:rPr>
              <w:b w:val="1"/>
              <w:bCs w:val="1"/>
              <w:color w:val="696b6b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260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36">
          <w:pPr>
            <w:keepNext w:val="1"/>
            <w:keepLines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b w:val="1"/>
              <w:bCs w:val="1"/>
              <w:color w:val="696b6b"/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color w:val="696b6b"/>
              <w:sz w:val="18"/>
              <w:szCs w:val="18"/>
              <w:rtl w:val="0"/>
            </w:rPr>
            <w:t xml:space="preserve">Name</w:t>
          </w:r>
        </w:p>
        <w:p w:rsidR="00000000" w:rsidDel="00000000" w:rsidP="00000000" w:rsidRDefault="00000000" w:rsidRPr="00000000" w14:paraId="0000003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696b6b"/>
              <w:sz w:val="18"/>
              <w:szCs w:val="18"/>
            </w:rPr>
          </w:pPr>
          <w:r w:rsidDel="00000000" w:rsidR="00000000" w:rsidRPr="00000000">
            <w:rPr>
              <w:color w:val="696b6b"/>
              <w:sz w:val="18"/>
              <w:szCs w:val="18"/>
              <w:rtl w:val="0"/>
            </w:rPr>
            <w:t xml:space="preserve">Title</w:t>
          </w:r>
        </w:p>
        <w:p w:rsidR="00000000" w:rsidDel="00000000" w:rsidP="00000000" w:rsidRDefault="00000000" w:rsidRPr="00000000" w14:paraId="0000003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696b6b"/>
              <w:sz w:val="18"/>
              <w:szCs w:val="18"/>
            </w:rPr>
          </w:pPr>
          <w:r w:rsidDel="00000000" w:rsidR="00000000" w:rsidRPr="00000000">
            <w:rPr>
              <w:color w:val="696b6b"/>
              <w:sz w:val="18"/>
              <w:szCs w:val="18"/>
              <w:rtl w:val="0"/>
            </w:rPr>
            <w:t xml:space="preserve">+1 000 000 0000</w:t>
          </w:r>
        </w:p>
        <w:p w:rsidR="00000000" w:rsidDel="00000000" w:rsidP="00000000" w:rsidRDefault="00000000" w:rsidRPr="00000000" w14:paraId="0000003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696b6b"/>
              <w:sz w:val="18"/>
              <w:szCs w:val="18"/>
            </w:rPr>
          </w:pPr>
          <w:hyperlink r:id="rId1">
            <w:r w:rsidDel="00000000" w:rsidR="00000000" w:rsidRPr="00000000">
              <w:rPr>
                <w:color w:val="4472c4"/>
                <w:sz w:val="18"/>
                <w:szCs w:val="18"/>
                <w:u w:val="single"/>
                <w:rtl w:val="0"/>
              </w:rPr>
              <w:t xml:space="preserve">first.last@cushwake.com</w:t>
            </w:r>
          </w:hyperlink>
          <w:r w:rsidDel="00000000" w:rsidR="00000000" w:rsidRPr="00000000">
            <w:rPr>
              <w:color w:val="696b6b"/>
              <w:sz w:val="18"/>
              <w:szCs w:val="18"/>
              <w:rtl w:val="0"/>
            </w:rPr>
            <w:t xml:space="preserve"> </w:t>
          </w:r>
        </w:p>
      </w:tc>
      <w:tc>
        <w:tcPr>
          <w:vAlign w:val="bottom"/>
        </w:tcPr>
        <w:p w:rsidR="00000000" w:rsidDel="00000000" w:rsidP="00000000" w:rsidRDefault="00000000" w:rsidRPr="00000000" w14:paraId="0000003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696b6b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43134</wp:posOffset>
          </wp:positionH>
          <wp:positionV relativeFrom="paragraph">
            <wp:posOffset>-154973</wp:posOffset>
          </wp:positionV>
          <wp:extent cx="1933575" cy="407670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3813</wp:posOffset>
          </wp:positionH>
          <wp:positionV relativeFrom="paragraph">
            <wp:posOffset>-201292</wp:posOffset>
          </wp:positionV>
          <wp:extent cx="1933575" cy="407670"/>
          <wp:effectExtent b="0" l="0" r="0" t="0"/>
          <wp:wrapSquare wrapText="bothSides" distB="0" distT="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00" w:lineRule="auto"/>
    </w:pPr>
    <w:rPr>
      <w:rFonts w:ascii="Calibri" w:cs="Calibri" w:eastAsia="Calibri" w:hAnsi="Calibri"/>
      <w:b w:val="1"/>
      <w:bCs w:val="1"/>
      <w:smallCaps w:val="1"/>
      <w:color w:val="008b98"/>
      <w:sz w:val="18"/>
      <w:szCs w:val="1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D84A2D"/>
    <w:rPr>
      <w:rFonts w:ascii="Calibri" w:cs="Calibri" w:eastAsia="Calibri" w:hAnsi="Calibri"/>
      <w:b w:val="1"/>
      <w:smallCaps w:val="1"/>
      <w:color w:val="008b98"/>
      <w:sz w:val="18"/>
      <w:szCs w:val="18"/>
      <w:lang w:eastAsia="pl-PL"/>
    </w:rPr>
  </w:style>
  <w:style w:type="paragraph" w:styleId="Footer">
    <w:name w:val="footer"/>
    <w:basedOn w:val="Normal"/>
    <w:link w:val="FooterChar"/>
    <w:uiPriority w:val="99"/>
    <w:unhideWhenUsed w:val="1"/>
    <w:rsid w:val="00D84A2D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84A2D"/>
    <w:rPr>
      <w:rFonts w:ascii="Arial" w:cs="Arial" w:eastAsia="Arial" w:hAnsi="Arial"/>
      <w:lang w:eastAsia="pl-PL"/>
    </w:rPr>
  </w:style>
  <w:style w:type="character" w:styleId="Hyperlink">
    <w:name w:val="Hyperlink"/>
    <w:basedOn w:val="DefaultParagraphFont"/>
    <w:unhideWhenUsed w:val="1"/>
    <w:qFormat w:val="1"/>
    <w:rsid w:val="00D84A2D"/>
    <w:rPr>
      <w:color w:val="4472c4" w:themeColor="accent1"/>
      <w:u w:val="single"/>
    </w:rPr>
  </w:style>
  <w:style w:type="table" w:styleId="TableGrid">
    <w:name w:val="Table Grid"/>
    <w:basedOn w:val="TableNormal"/>
    <w:uiPriority w:val="59"/>
    <w:rsid w:val="00D84A2D"/>
    <w:pPr>
      <w:spacing w:after="0" w:line="240" w:lineRule="auto"/>
    </w:pPr>
    <w:rPr>
      <w:rFonts w:eastAsiaTheme="minorEastAsia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ntactName" w:customStyle="1">
    <w:name w:val="ContactName"/>
    <w:basedOn w:val="Heading3"/>
    <w:qFormat w:val="1"/>
    <w:rsid w:val="00D84A2D"/>
    <w:pPr>
      <w:spacing w:before="0" w:line="216" w:lineRule="atLeast"/>
    </w:pPr>
    <w:rPr>
      <w:rFonts w:ascii="Calibri" w:cs="Times New Roman" w:eastAsia="Times New Roman" w:hAnsi="Calibri"/>
      <w:b w:val="1"/>
      <w:bCs w:val="1"/>
      <w:color w:val="008b98"/>
      <w:sz w:val="18"/>
      <w:lang w:eastAsia="en-GB" w:val="en-GB"/>
    </w:rPr>
  </w:style>
  <w:style w:type="paragraph" w:styleId="ContactDetail" w:customStyle="1">
    <w:name w:val="ContactDetail"/>
    <w:basedOn w:val="Normal"/>
    <w:rsid w:val="00D84A2D"/>
    <w:pPr>
      <w:spacing w:after="0" w:line="216" w:lineRule="atLeast"/>
    </w:pPr>
    <w:rPr>
      <w:rFonts w:ascii="Calibri" w:cs="Times New Roman" w:eastAsia="Times New Roman" w:hAnsi="Calibri"/>
      <w:color w:val="000000"/>
      <w:sz w:val="18"/>
      <w:szCs w:val="24"/>
      <w:lang w:eastAsia="en-GB" w:val="en-GB"/>
    </w:rPr>
  </w:style>
  <w:style w:type="character" w:styleId="Brak" w:customStyle="1">
    <w:name w:val="Brak"/>
    <w:rsid w:val="00D84A2D"/>
  </w:style>
  <w:style w:type="character" w:styleId="Hyperlink0" w:customStyle="1">
    <w:name w:val="Hyperlink.0"/>
    <w:basedOn w:val="Brak"/>
    <w:rsid w:val="00D84A2D"/>
  </w:style>
  <w:style w:type="table" w:styleId="PlainTable41" w:customStyle="1">
    <w:name w:val="Plain Table 41"/>
    <w:basedOn w:val="TableNormal"/>
    <w:uiPriority w:val="44"/>
    <w:rsid w:val="00D84A2D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PlainText">
    <w:name w:val="Plain Text"/>
    <w:basedOn w:val="Normal"/>
    <w:link w:val="PlainTextChar"/>
    <w:uiPriority w:val="99"/>
    <w:unhideWhenUsed w:val="1"/>
    <w:rsid w:val="00D84A2D"/>
    <w:pPr>
      <w:spacing w:after="0" w:line="240" w:lineRule="auto"/>
    </w:pPr>
    <w:rPr>
      <w:rFonts w:ascii="Calibri" w:cs="Consolas" w:eastAsia="Times New Roman" w:hAnsi="Calibri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D84A2D"/>
    <w:rPr>
      <w:rFonts w:ascii="Calibri" w:cs="Consolas" w:eastAsia="Times New Roman" w:hAnsi="Calibri"/>
      <w:szCs w:val="21"/>
      <w:lang w:eastAsia="pl-PL"/>
    </w:rPr>
  </w:style>
  <w:style w:type="character" w:styleId="Heading3Char" w:customStyle="1">
    <w:name w:val="Heading 3 Char"/>
    <w:basedOn w:val="DefaultParagraphFont"/>
    <w:link w:val="Heading3"/>
    <w:uiPriority w:val="9"/>
    <w:rsid w:val="00D84A2D"/>
    <w:rPr>
      <w:rFonts w:asciiTheme="majorHAnsi" w:cstheme="majorBidi" w:eastAsiaTheme="majorEastAsia" w:hAnsiTheme="majorHAnsi"/>
      <w:color w:val="1f3763" w:themeColor="accent1" w:themeShade="00007F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CB2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CB2FB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B2FB2"/>
    <w:rPr>
      <w:rFonts w:ascii="Arial" w:cs="Arial" w:eastAsia="Arial" w:hAnsi="Arial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CB2FB2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CB2FB2"/>
    <w:rPr>
      <w:rFonts w:ascii="Arial" w:cs="Arial" w:eastAsia="Arial" w:hAnsi="Arial"/>
      <w:b w:val="1"/>
      <w:bCs w:val="1"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B2FB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B2FB2"/>
    <w:rPr>
      <w:rFonts w:ascii="Segoe UI" w:cs="Segoe UI" w:eastAsia="Arial" w:hAnsi="Segoe UI"/>
      <w:sz w:val="18"/>
      <w:szCs w:val="18"/>
      <w:lang w:eastAsia="pl-PL"/>
    </w:rPr>
  </w:style>
  <w:style w:type="paragraph" w:styleId="Revision">
    <w:name w:val="Revision"/>
    <w:hidden w:val="1"/>
    <w:uiPriority w:val="99"/>
    <w:semiHidden w:val="1"/>
    <w:rsid w:val="005323BE"/>
    <w:pPr>
      <w:spacing w:after="0" w:line="240" w:lineRule="auto"/>
    </w:pPr>
    <w:rPr>
      <w:rFonts w:ascii="Arial" w:cs="Arial" w:eastAsia="Arial" w:hAnsi="Arial"/>
      <w:lang w:eastAsia="pl-PL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976C95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976C95"/>
    <w:rPr>
      <w:rFonts w:ascii="Arial" w:cs="Arial" w:eastAsia="Arial" w:hAnsi="Arial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976C9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 w:val="1"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77D91"/>
    <w:rPr>
      <w:rFonts w:ascii="Arial" w:cs="Arial" w:eastAsia="Arial" w:hAnsi="Arial"/>
      <w:lang w:eastAsia="pl-PL"/>
    </w:rPr>
  </w:style>
  <w:style w:type="character" w:styleId="Nierozpoznanawzmianka1" w:customStyle="1">
    <w:name w:val="Nierozpoznana wzmianka1"/>
    <w:basedOn w:val="DefaultParagraphFont"/>
    <w:uiPriority w:val="99"/>
    <w:semiHidden w:val="1"/>
    <w:unhideWhenUsed w:val="1"/>
    <w:rsid w:val="00B77D91"/>
    <w:rPr>
      <w:color w:val="605e5c"/>
      <w:shd w:color="auto" w:fill="e1dfdd" w:val="clear"/>
    </w:rPr>
  </w:style>
  <w:style w:type="character" w:styleId="Nierozpoznanawzmianka2" w:customStyle="1">
    <w:name w:val="Nierozpoznana wzmianka2"/>
    <w:basedOn w:val="DefaultParagraphFont"/>
    <w:uiPriority w:val="99"/>
    <w:semiHidden w:val="1"/>
    <w:unhideWhenUsed w:val="1"/>
    <w:rsid w:val="006B635B"/>
    <w:rPr>
      <w:color w:val="605e5c"/>
      <w:shd w:color="auto" w:fill="e1dfdd" w:val="clear"/>
    </w:rPr>
  </w:style>
  <w:style w:type="paragraph" w:styleId="western" w:customStyle="1">
    <w:name w:val="western"/>
    <w:basedOn w:val="Normal"/>
    <w:rsid w:val="00FE3132"/>
    <w:pPr>
      <w:spacing w:after="100" w:afterAutospacing="1" w:before="100" w:beforeAutospacing="1" w:line="240" w:lineRule="auto"/>
    </w:pPr>
    <w:rPr>
      <w:rFonts w:ascii="Calibri" w:cs="Calibri" w:hAnsi="Calibri" w:eastAsiaTheme="minorHAnsi"/>
    </w:rPr>
  </w:style>
  <w:style w:type="character" w:styleId="Strong">
    <w:name w:val="Strong"/>
    <w:basedOn w:val="DefaultParagraphFont"/>
    <w:uiPriority w:val="22"/>
    <w:qFormat w:val="1"/>
    <w:rsid w:val="00FE3132"/>
    <w:rPr>
      <w:b w:val="1"/>
      <w:bCs w:val="1"/>
    </w:rPr>
  </w:style>
  <w:style w:type="character" w:styleId="Heading1Char" w:customStyle="1">
    <w:name w:val="Heading 1 Char"/>
    <w:basedOn w:val="DefaultParagraphFont"/>
    <w:link w:val="Heading1"/>
    <w:uiPriority w:val="9"/>
    <w:rsid w:val="00FE3132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pl-PL"/>
    </w:rPr>
  </w:style>
  <w:style w:type="character" w:styleId="Emphasis">
    <w:name w:val="Emphasis"/>
    <w:basedOn w:val="DefaultParagraphFont"/>
    <w:uiPriority w:val="20"/>
    <w:qFormat w:val="1"/>
    <w:rsid w:val="00E909E6"/>
    <w:rPr>
      <w:i w:val="1"/>
      <w:iCs w:val="1"/>
    </w:rPr>
  </w:style>
  <w:style w:type="character" w:styleId="cf01" w:customStyle="1">
    <w:name w:val="cf01"/>
    <w:basedOn w:val="DefaultParagraphFont"/>
    <w:rsid w:val="00167436"/>
    <w:rPr>
      <w:rFonts w:ascii="Segoe UI" w:cs="Segoe UI" w:hAnsi="Segoe UI" w:hint="default"/>
      <w:sz w:val="18"/>
      <w:szCs w:val="18"/>
    </w:rPr>
  </w:style>
  <w:style w:type="character" w:styleId="apple-converted-space" w:customStyle="1">
    <w:name w:val="apple-converted-space"/>
    <w:basedOn w:val="DefaultParagraphFont"/>
    <w:rsid w:val="00775E16"/>
  </w:style>
  <w:style w:type="paragraph" w:styleId="ListParagraph">
    <w:name w:val="List Paragraph"/>
    <w:basedOn w:val="Normal"/>
    <w:uiPriority w:val="34"/>
    <w:qFormat w:val="1"/>
    <w:rsid w:val="00AF11EE"/>
    <w:pPr>
      <w:spacing w:after="0" w:line="240" w:lineRule="auto"/>
      <w:ind w:left="720"/>
    </w:pPr>
    <w:rPr>
      <w:rFonts w:ascii="Calibri" w:cs="Calibri" w:hAnsi="Calibri" w:eastAsiaTheme="minorHAnsi"/>
      <w:lang w:eastAsia="en-GB" w:val="en-GB"/>
    </w:rPr>
  </w:style>
  <w:style w:type="paragraph" w:styleId="NormalWeb">
    <w:name w:val="Normal (Web)"/>
    <w:basedOn w:val="Normal"/>
    <w:uiPriority w:val="99"/>
    <w:unhideWhenUsed w:val="1"/>
    <w:rsid w:val="00AF11E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US" w:val="en-US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AF11EE"/>
    <w:pPr>
      <w:spacing w:after="0" w:line="240" w:lineRule="auto"/>
    </w:pPr>
    <w:rPr>
      <w:rFonts w:asciiTheme="minorHAnsi" w:cstheme="minorBidi" w:eastAsiaTheme="minorHAnsi" w:hAnsiTheme="minorHAnsi"/>
      <w:sz w:val="20"/>
      <w:szCs w:val="20"/>
      <w:lang w:eastAsia="en-US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AF11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AF11EE"/>
    <w:rPr>
      <w:vertAlign w:val="superscript"/>
    </w:rPr>
  </w:style>
  <w:style w:type="character" w:styleId="normaltextrun" w:customStyle="1">
    <w:name w:val="normaltextrun"/>
    <w:basedOn w:val="DefaultParagraphFont"/>
    <w:rsid w:val="00C0604F"/>
  </w:style>
  <w:style w:type="character" w:styleId="eop" w:customStyle="1">
    <w:name w:val="eop"/>
    <w:basedOn w:val="DefaultParagraphFont"/>
    <w:rsid w:val="00C0604F"/>
  </w:style>
  <w:style w:type="paragraph" w:styleId="pf0" w:customStyle="1">
    <w:name w:val="pf0"/>
    <w:basedOn w:val="Normal"/>
    <w:rsid w:val="00A12B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ierozpoznanawzmianka3" w:customStyle="1">
    <w:name w:val="Nierozpoznana wzmianka3"/>
    <w:basedOn w:val="DefaultParagraphFont"/>
    <w:uiPriority w:val="99"/>
    <w:semiHidden w:val="1"/>
    <w:unhideWhenUsed w:val="1"/>
    <w:rsid w:val="006C62B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70FF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04A4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cushmanwakefield.com/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media.poland@cushwake.pl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first.last@cushwake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dN1/uPkwQC8lHR3gM6P2h8BYlA==">CgMxLjAaHwoBMBIaChgICVIUChJ0YWJsZS5zNWl6Z2U0N216cmwyDWgud3BzeTB2b2EyZGoyDmgubmo1NzFuOWQ3M3BuOABqKgoUc3VnZ2VzdC42eGdzajdrdHBpemESEk1hZ2RhbGVuYSBPc3Nvd3NrYWoqChRzdWdnZXN0LmZ6cjZsa2xiZDl6bxISTWFnZGFsZW5hIE9zc293c2thaioKFHN1Z2dlc3QuNXNqMTh0dXFvaW11EhJNYWdkYWxlbmEgT3Nzb3dza2FqKgoUc3VnZ2VzdC5udGFzc2tqc2ZiaTESEk1hZ2RhbGVuYSBPc3Nvd3NrYWoqChRzdWdnZXN0LmV1emJzOHBlODczbRISTWFnZGFsZW5hIE9zc293c2thciExLWpSeWstQkY2Z0c3S1FLa2Z1QXVsUC03Wjd1RHQ3d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2026-01-08T09:44:00Z</dcterms:created>
  <dc:creator>Natalia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  <property fmtid="{D5CDD505-2E9C-101B-9397-08002B2CF9AE}" pid="3" name="MSIP_Label_69dff614-0e67-44e8-ba58-20cc1388ebff_Enabled">
    <vt:lpwstr>true</vt:lpwstr>
  </property>
  <property fmtid="{D5CDD505-2E9C-101B-9397-08002B2CF9AE}" pid="4" name="MSIP_Label_69dff614-0e67-44e8-ba58-20cc1388ebff_SetDate">
    <vt:lpwstr>2024-11-20T08:03:05Z</vt:lpwstr>
  </property>
  <property fmtid="{D5CDD505-2E9C-101B-9397-08002B2CF9AE}" pid="5" name="MSIP_Label_69dff614-0e67-44e8-ba58-20cc1388ebff_Method">
    <vt:lpwstr>Standard</vt:lpwstr>
  </property>
  <property fmtid="{D5CDD505-2E9C-101B-9397-08002B2CF9AE}" pid="6" name="MSIP_Label_69dff614-0e67-44e8-ba58-20cc1388ebff_Name">
    <vt:lpwstr>defa4170-0d19-0005-0004-bc88714345d2</vt:lpwstr>
  </property>
  <property fmtid="{D5CDD505-2E9C-101B-9397-08002B2CF9AE}" pid="7" name="MSIP_Label_69dff614-0e67-44e8-ba58-20cc1388ebff_SiteId">
    <vt:lpwstr>2cf835d1-453b-472b-9b90-3f6d854ad75b</vt:lpwstr>
  </property>
  <property fmtid="{D5CDD505-2E9C-101B-9397-08002B2CF9AE}" pid="8" name="MSIP_Label_69dff614-0e67-44e8-ba58-20cc1388ebff_ActionId">
    <vt:lpwstr>8f2dc40b-f31d-4951-b2de-7b2d9e597d51</vt:lpwstr>
  </property>
  <property fmtid="{D5CDD505-2E9C-101B-9397-08002B2CF9AE}" pid="9" name="MSIP_Label_69dff614-0e67-44e8-ba58-20cc1388ebff_ContentBits">
    <vt:lpwstr>0</vt:lpwstr>
  </property>
</Properties>
</file>