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8EE4" w14:textId="270631C5" w:rsidR="00B23C89" w:rsidRPr="00D46ACD" w:rsidRDefault="00B23C89" w:rsidP="00B23C89">
      <w:pPr>
        <w:jc w:val="right"/>
      </w:pPr>
      <w:r w:rsidRPr="00D46ACD">
        <w:t>Katowice,</w:t>
      </w:r>
      <w:r w:rsidR="00286312" w:rsidRPr="00D46ACD">
        <w:t xml:space="preserve"> </w:t>
      </w:r>
      <w:r w:rsidR="00951A01">
        <w:t>28</w:t>
      </w:r>
      <w:r w:rsidR="00286312" w:rsidRPr="00D46ACD">
        <w:t>.</w:t>
      </w:r>
      <w:r w:rsidR="00CC4433">
        <w:t>01</w:t>
      </w:r>
      <w:r w:rsidR="00286312" w:rsidRPr="00D46ACD">
        <w:t>.</w:t>
      </w:r>
      <w:r w:rsidR="001F533E" w:rsidRPr="00D46ACD">
        <w:t>202</w:t>
      </w:r>
      <w:r w:rsidR="00CC4433">
        <w:t>6</w:t>
      </w:r>
    </w:p>
    <w:p w14:paraId="0FD4D5F2" w14:textId="77777777" w:rsidR="00CC4433" w:rsidRDefault="00CC4433" w:rsidP="00262FCC">
      <w:pPr>
        <w:jc w:val="both"/>
        <w:rPr>
          <w:b/>
          <w:bCs/>
        </w:rPr>
      </w:pPr>
    </w:p>
    <w:p w14:paraId="6CC3A29E" w14:textId="11064BE6" w:rsidR="001C55C5" w:rsidRPr="00574B6B" w:rsidRDefault="00574B6B" w:rsidP="001C55C5">
      <w:pPr>
        <w:jc w:val="both"/>
        <w:rPr>
          <w:b/>
          <w:bCs/>
        </w:rPr>
      </w:pPr>
      <w:r w:rsidRPr="00574B6B">
        <w:rPr>
          <w:b/>
          <w:bCs/>
        </w:rPr>
        <w:t>Ponad 300 sprzedanych mieszkań i efektywna ekspansja</w:t>
      </w:r>
      <w:r w:rsidR="001B2CF4">
        <w:rPr>
          <w:b/>
          <w:bCs/>
        </w:rPr>
        <w:t xml:space="preserve"> poza Śląsk</w:t>
      </w:r>
      <w:r w:rsidRPr="00574B6B">
        <w:rPr>
          <w:b/>
          <w:bCs/>
        </w:rPr>
        <w:t>. TDJ Estate podsumowuje 2025 r.</w:t>
      </w:r>
    </w:p>
    <w:p w14:paraId="2D20361C" w14:textId="1BA4FDEB" w:rsidR="00394F7E" w:rsidRDefault="001C55C5" w:rsidP="001C55C5">
      <w:pPr>
        <w:jc w:val="both"/>
        <w:rPr>
          <w:b/>
          <w:bCs/>
        </w:rPr>
      </w:pPr>
      <w:r w:rsidRPr="00C05B90">
        <w:rPr>
          <w:b/>
          <w:bCs/>
        </w:rPr>
        <w:t>W 2025 roku</w:t>
      </w:r>
      <w:r w:rsidR="00574B6B" w:rsidRPr="00C05B90">
        <w:rPr>
          <w:b/>
          <w:bCs/>
        </w:rPr>
        <w:t xml:space="preserve"> </w:t>
      </w:r>
      <w:r w:rsidR="0052095B" w:rsidRPr="00C05B90">
        <w:rPr>
          <w:b/>
          <w:bCs/>
        </w:rPr>
        <w:t xml:space="preserve">spółka </w:t>
      </w:r>
      <w:r w:rsidRPr="00C05B90">
        <w:rPr>
          <w:b/>
          <w:bCs/>
        </w:rPr>
        <w:t>TDJ Estate sprzedał</w:t>
      </w:r>
      <w:r w:rsidR="0052095B" w:rsidRPr="00C05B90">
        <w:rPr>
          <w:b/>
          <w:bCs/>
        </w:rPr>
        <w:t>a</w:t>
      </w:r>
      <w:r w:rsidRPr="00C05B90">
        <w:rPr>
          <w:b/>
          <w:bCs/>
        </w:rPr>
        <w:t xml:space="preserve"> łącznie </w:t>
      </w:r>
      <w:r w:rsidRPr="00D60430">
        <w:rPr>
          <w:b/>
          <w:bCs/>
        </w:rPr>
        <w:t>30</w:t>
      </w:r>
      <w:r w:rsidR="007D2457" w:rsidRPr="00D60430">
        <w:rPr>
          <w:b/>
          <w:bCs/>
        </w:rPr>
        <w:t>7</w:t>
      </w:r>
      <w:r w:rsidRPr="00C05B90">
        <w:rPr>
          <w:b/>
          <w:bCs/>
        </w:rPr>
        <w:t xml:space="preserve"> mieszkań w miastach południowej Polski</w:t>
      </w:r>
      <w:r w:rsidR="00574B6B" w:rsidRPr="00C05B90">
        <w:rPr>
          <w:b/>
          <w:bCs/>
        </w:rPr>
        <w:t>, a także</w:t>
      </w:r>
      <w:r w:rsidR="00394F7E">
        <w:rPr>
          <w:b/>
          <w:bCs/>
        </w:rPr>
        <w:t xml:space="preserve"> osiągnęła 90</w:t>
      </w:r>
      <w:r w:rsidR="00FE157B">
        <w:rPr>
          <w:b/>
          <w:bCs/>
        </w:rPr>
        <w:t>-procentowy</w:t>
      </w:r>
      <w:r w:rsidR="00394F7E">
        <w:rPr>
          <w:b/>
          <w:bCs/>
        </w:rPr>
        <w:t xml:space="preserve"> poziom komercjalizacji powierzchni w </w:t>
      </w:r>
      <w:r w:rsidR="00AC45C4">
        <w:rPr>
          <w:b/>
          <w:bCs/>
        </w:rPr>
        <w:t xml:space="preserve">najwyższym </w:t>
      </w:r>
      <w:r w:rsidR="00394F7E">
        <w:rPr>
          <w:b/>
          <w:bCs/>
        </w:rPr>
        <w:t xml:space="preserve">katowickim biurowcu </w:t>
      </w:r>
      <w:r w:rsidR="00AC45C4">
        <w:rPr>
          <w:b/>
          <w:bCs/>
        </w:rPr>
        <w:t xml:space="preserve">– </w:t>
      </w:r>
      <w:r w:rsidR="00394F7E">
        <w:rPr>
          <w:b/>
          <w:bCs/>
        </w:rPr>
        <w:t xml:space="preserve">KTW II. </w:t>
      </w:r>
      <w:r w:rsidR="00876ED5">
        <w:rPr>
          <w:b/>
          <w:bCs/>
        </w:rPr>
        <w:t>W portfolio dewelopera pozostawało 7 aktywnych inwestycji mieszkaniowych</w:t>
      </w:r>
      <w:r w:rsidR="00976C20">
        <w:rPr>
          <w:b/>
          <w:bCs/>
        </w:rPr>
        <w:t xml:space="preserve">, a projekty w budowie zaowocują </w:t>
      </w:r>
      <w:r w:rsidR="00E269F8">
        <w:rPr>
          <w:b/>
          <w:bCs/>
        </w:rPr>
        <w:t>powstaniem ponad 1500 nowych lokali.</w:t>
      </w:r>
    </w:p>
    <w:p w14:paraId="54B06332" w14:textId="513C3ECF" w:rsidR="00CC4433" w:rsidRDefault="00631404" w:rsidP="00CC4433">
      <w:pPr>
        <w:jc w:val="both"/>
      </w:pPr>
      <w:r>
        <w:t>W minionym roku deweloper</w:t>
      </w:r>
      <w:r w:rsidR="00CC4433">
        <w:t xml:space="preserve"> sprzedał </w:t>
      </w:r>
      <w:r w:rsidR="00CC4433" w:rsidRPr="00D60430">
        <w:t>24</w:t>
      </w:r>
      <w:r w:rsidR="00D60430" w:rsidRPr="00D60430">
        <w:t>7</w:t>
      </w:r>
      <w:r w:rsidR="00CC4433">
        <w:t xml:space="preserve"> </w:t>
      </w:r>
      <w:r>
        <w:t xml:space="preserve">mieszkań w ramach inwestycji zlokalizowanych </w:t>
      </w:r>
      <w:r w:rsidR="00CC4433">
        <w:t>na Śląsku, a</w:t>
      </w:r>
      <w:r>
        <w:t xml:space="preserve"> </w:t>
      </w:r>
      <w:r w:rsidR="00A67A38">
        <w:t xml:space="preserve">kolejne </w:t>
      </w:r>
      <w:r w:rsidR="00CC4433" w:rsidRPr="00D60430">
        <w:t>60</w:t>
      </w:r>
      <w:r w:rsidR="00CC4433">
        <w:t xml:space="preserve"> </w:t>
      </w:r>
      <w:r w:rsidR="00A67A38">
        <w:t>– w</w:t>
      </w:r>
      <w:r w:rsidR="00CC4433">
        <w:t xml:space="preserve"> Krakowie. </w:t>
      </w:r>
      <w:r w:rsidR="00A67A38">
        <w:t>N</w:t>
      </w:r>
      <w:r w:rsidR="00CC4433">
        <w:t>ajwiększą popularnością</w:t>
      </w:r>
      <w:r w:rsidR="00A67A38">
        <w:t xml:space="preserve"> wśród nabywców cieszyło się katowickie Osiedle Dobrynów. </w:t>
      </w:r>
      <w:r w:rsidR="005B2B6D">
        <w:t>Blisko</w:t>
      </w:r>
      <w:r w:rsidR="00CC4433">
        <w:t xml:space="preserve"> 20 proc. </w:t>
      </w:r>
      <w:r w:rsidR="005B2B6D">
        <w:t>wszystkich zrealizowanych transakcji odnotowano w</w:t>
      </w:r>
      <w:r w:rsidR="00F04B36">
        <w:t xml:space="preserve"> stolicy</w:t>
      </w:r>
      <w:r w:rsidR="005B2B6D">
        <w:t xml:space="preserve"> </w:t>
      </w:r>
      <w:r w:rsidR="00C8761A">
        <w:t>Małopolski</w:t>
      </w:r>
      <w:r w:rsidR="00CC4433">
        <w:t>, co potwierdza</w:t>
      </w:r>
      <w:r w:rsidR="00E62E33">
        <w:t xml:space="preserve"> sukces spółki w konsekwentnej ekspansji poza województwo śląskie, gdzie </w:t>
      </w:r>
      <w:r w:rsidR="003B3DB8">
        <w:t>TDJ Estate ma swoje korzenie.</w:t>
      </w:r>
    </w:p>
    <w:p w14:paraId="74D58EDF" w14:textId="02D257EF" w:rsidR="00B70395" w:rsidRDefault="00CC4433" w:rsidP="00CC4433">
      <w:pPr>
        <w:jc w:val="both"/>
      </w:pPr>
      <w:r>
        <w:t xml:space="preserve">- </w:t>
      </w:r>
      <w:r w:rsidR="003B3DB8" w:rsidRPr="00F04B36">
        <w:rPr>
          <w:i/>
          <w:iCs/>
        </w:rPr>
        <w:t>Rozwój biznesu w województwie</w:t>
      </w:r>
      <w:r w:rsidRPr="00F04B36">
        <w:rPr>
          <w:i/>
          <w:iCs/>
        </w:rPr>
        <w:t xml:space="preserve"> </w:t>
      </w:r>
      <w:r w:rsidR="003B3DB8" w:rsidRPr="00F04B36">
        <w:rPr>
          <w:i/>
          <w:iCs/>
        </w:rPr>
        <w:t>śląskim</w:t>
      </w:r>
      <w:r w:rsidRPr="00F04B36">
        <w:rPr>
          <w:i/>
          <w:iCs/>
        </w:rPr>
        <w:t xml:space="preserve"> </w:t>
      </w:r>
      <w:r w:rsidR="003B3DB8" w:rsidRPr="00F04B36">
        <w:rPr>
          <w:i/>
          <w:iCs/>
        </w:rPr>
        <w:t>niezmiennie</w:t>
      </w:r>
      <w:r w:rsidRPr="00F04B36">
        <w:rPr>
          <w:i/>
          <w:iCs/>
        </w:rPr>
        <w:t xml:space="preserve"> pozosta</w:t>
      </w:r>
      <w:r w:rsidR="003B3DB8" w:rsidRPr="00F04B36">
        <w:rPr>
          <w:i/>
          <w:iCs/>
        </w:rPr>
        <w:t>je</w:t>
      </w:r>
      <w:r w:rsidRPr="00F04B36">
        <w:rPr>
          <w:i/>
          <w:iCs/>
        </w:rPr>
        <w:t xml:space="preserve"> </w:t>
      </w:r>
      <w:r w:rsidR="003B3DB8" w:rsidRPr="00F04B36">
        <w:rPr>
          <w:i/>
          <w:iCs/>
        </w:rPr>
        <w:t xml:space="preserve">fundamentem naszej strategii sprzedażowej. </w:t>
      </w:r>
      <w:r w:rsidRPr="00F04B36">
        <w:rPr>
          <w:i/>
          <w:iCs/>
        </w:rPr>
        <w:t>W</w:t>
      </w:r>
      <w:r w:rsidR="003B3DB8" w:rsidRPr="00F04B36">
        <w:rPr>
          <w:i/>
          <w:iCs/>
        </w:rPr>
        <w:t xml:space="preserve"> 2025 r</w:t>
      </w:r>
      <w:r w:rsidR="003564D4">
        <w:rPr>
          <w:i/>
          <w:iCs/>
        </w:rPr>
        <w:t>oku</w:t>
      </w:r>
      <w:r w:rsidRPr="00F04B36">
        <w:rPr>
          <w:i/>
          <w:iCs/>
        </w:rPr>
        <w:t xml:space="preserve"> rozpoczęliśmy budowę już szóstej inwestycji</w:t>
      </w:r>
      <w:r w:rsidR="00B70395" w:rsidRPr="00F04B36">
        <w:rPr>
          <w:i/>
          <w:iCs/>
        </w:rPr>
        <w:t xml:space="preserve"> mieszkaniowej</w:t>
      </w:r>
      <w:r w:rsidRPr="00F04B36">
        <w:rPr>
          <w:i/>
          <w:iCs/>
        </w:rPr>
        <w:t xml:space="preserve"> w Katowicach</w:t>
      </w:r>
      <w:r w:rsidR="00B70395" w:rsidRPr="00F04B36">
        <w:rPr>
          <w:i/>
          <w:iCs/>
        </w:rPr>
        <w:t xml:space="preserve"> – </w:t>
      </w:r>
      <w:r w:rsidRPr="00F04B36">
        <w:rPr>
          <w:i/>
          <w:iCs/>
        </w:rPr>
        <w:t>Osiedla Hierowskiego w dzielnicy Kostuch</w:t>
      </w:r>
      <w:r w:rsidR="00B70395" w:rsidRPr="00F04B36">
        <w:rPr>
          <w:i/>
          <w:iCs/>
        </w:rPr>
        <w:t>n</w:t>
      </w:r>
      <w:r w:rsidRPr="00F04B36">
        <w:rPr>
          <w:i/>
          <w:iCs/>
        </w:rPr>
        <w:t>a</w:t>
      </w:r>
      <w:r w:rsidR="002D51CC" w:rsidRPr="00F04B36">
        <w:rPr>
          <w:i/>
          <w:iCs/>
        </w:rPr>
        <w:t>, z</w:t>
      </w:r>
      <w:r w:rsidR="00593C9A" w:rsidRPr="00F04B36">
        <w:rPr>
          <w:i/>
          <w:iCs/>
        </w:rPr>
        <w:t xml:space="preserve"> niepowtarzalną</w:t>
      </w:r>
      <w:r w:rsidR="002D51CC" w:rsidRPr="00F04B36">
        <w:rPr>
          <w:i/>
          <w:iCs/>
        </w:rPr>
        <w:t xml:space="preserve"> </w:t>
      </w:r>
      <w:r w:rsidR="00DF7502" w:rsidRPr="00F04B36">
        <w:rPr>
          <w:i/>
          <w:iCs/>
        </w:rPr>
        <w:t xml:space="preserve">osią aktywności, </w:t>
      </w:r>
      <w:r w:rsidR="002D51CC" w:rsidRPr="00F04B36">
        <w:rPr>
          <w:i/>
          <w:iCs/>
        </w:rPr>
        <w:t>której celem jest integracja międzypokoleniowa lokalnej społeczności.</w:t>
      </w:r>
      <w:r w:rsidR="00593C9A" w:rsidRPr="00F04B36">
        <w:rPr>
          <w:i/>
          <w:iCs/>
        </w:rPr>
        <w:t xml:space="preserve"> Naszą wizję tworzenia nowoczesnych osiedli </w:t>
      </w:r>
      <w:r w:rsidR="00427A19" w:rsidRPr="00F04B36">
        <w:rPr>
          <w:i/>
          <w:iCs/>
        </w:rPr>
        <w:t>zorientowanych na potrzeby mieszkańców chcemy konsekwentnie krzewić również poza Śląskiem. Tym samym rozpoczęliśmy real</w:t>
      </w:r>
      <w:r w:rsidR="00427A19" w:rsidRPr="003564D4">
        <w:rPr>
          <w:i/>
          <w:iCs/>
        </w:rPr>
        <w:t xml:space="preserve">izację drugiej inwestycji </w:t>
      </w:r>
      <w:r w:rsidR="007A4E14" w:rsidRPr="003564D4">
        <w:rPr>
          <w:i/>
          <w:iCs/>
        </w:rPr>
        <w:t xml:space="preserve">krakowskiej – Osiedla Meiera. </w:t>
      </w:r>
      <w:r w:rsidR="00C9591D" w:rsidRPr="003564D4">
        <w:rPr>
          <w:i/>
          <w:iCs/>
        </w:rPr>
        <w:t xml:space="preserve">Oba </w:t>
      </w:r>
      <w:r w:rsidR="00E920C1" w:rsidRPr="003564D4">
        <w:rPr>
          <w:i/>
          <w:iCs/>
        </w:rPr>
        <w:t xml:space="preserve">nowe </w:t>
      </w:r>
      <w:r w:rsidR="00C9591D" w:rsidRPr="003564D4">
        <w:rPr>
          <w:i/>
          <w:iCs/>
        </w:rPr>
        <w:t>projekt</w:t>
      </w:r>
      <w:r w:rsidR="00E920C1" w:rsidRPr="003564D4">
        <w:rPr>
          <w:i/>
          <w:iCs/>
        </w:rPr>
        <w:t>y</w:t>
      </w:r>
      <w:r w:rsidR="00C9591D" w:rsidRPr="003564D4">
        <w:rPr>
          <w:i/>
          <w:iCs/>
        </w:rPr>
        <w:t xml:space="preserve"> dostarczą na rynek w sumie 466 mieszkań</w:t>
      </w:r>
      <w:r w:rsidR="00C9591D" w:rsidRPr="003564D4">
        <w:t xml:space="preserve"> – mówi</w:t>
      </w:r>
      <w:r w:rsidR="00566A29" w:rsidRPr="003564D4">
        <w:t xml:space="preserve"> </w:t>
      </w:r>
      <w:r w:rsidR="00B2554E" w:rsidRPr="003564D4">
        <w:rPr>
          <w:b/>
          <w:bCs/>
        </w:rPr>
        <w:t xml:space="preserve">Katarzyna Unold, Prezeska </w:t>
      </w:r>
      <w:r w:rsidR="00B6188A" w:rsidRPr="003564D4">
        <w:rPr>
          <w:b/>
          <w:bCs/>
        </w:rPr>
        <w:t xml:space="preserve">Zarządu </w:t>
      </w:r>
      <w:r w:rsidR="00B2554E" w:rsidRPr="003564D4">
        <w:rPr>
          <w:b/>
          <w:bCs/>
        </w:rPr>
        <w:t>TDJ Estate.</w:t>
      </w:r>
    </w:p>
    <w:p w14:paraId="1E3467D0" w14:textId="601A853E" w:rsidR="00CF0005" w:rsidRDefault="00E920C1" w:rsidP="00CC4433">
      <w:pPr>
        <w:jc w:val="both"/>
      </w:pPr>
      <w:r>
        <w:t xml:space="preserve">Zgodnie z </w:t>
      </w:r>
      <w:r w:rsidR="008A183B">
        <w:t xml:space="preserve">przyjętym </w:t>
      </w:r>
      <w:r>
        <w:t xml:space="preserve">harmonogramem </w:t>
      </w:r>
      <w:r w:rsidR="008A183B">
        <w:t xml:space="preserve">spółka przekazała mieszkańcom klucze do 120 lokali, a także sfinalizowała dwa projekty mieszkaniowe – drugi etap Osiedla Dobrynów i trzeci etap </w:t>
      </w:r>
      <w:r w:rsidR="00D0408A">
        <w:t>Zielonej Dol</w:t>
      </w:r>
      <w:r w:rsidR="00D60430">
        <w:t>i</w:t>
      </w:r>
      <w:r w:rsidR="00D0408A">
        <w:t>ny w Zabrzu.</w:t>
      </w:r>
    </w:p>
    <w:p w14:paraId="1CF46C8D" w14:textId="4604A88A" w:rsidR="00CF0005" w:rsidRDefault="009628F2" w:rsidP="00CC4433">
      <w:pPr>
        <w:jc w:val="both"/>
        <w:rPr>
          <w:b/>
          <w:bCs/>
        </w:rPr>
      </w:pPr>
      <w:r>
        <w:rPr>
          <w:b/>
          <w:bCs/>
        </w:rPr>
        <w:t>Efektywność najmu i sprzedaży lokali usługowych</w:t>
      </w:r>
    </w:p>
    <w:p w14:paraId="4DF84446" w14:textId="36F4B401" w:rsidR="00FF26E1" w:rsidRPr="00FF26E1" w:rsidRDefault="009628F2" w:rsidP="009628F2">
      <w:pPr>
        <w:jc w:val="both"/>
      </w:pPr>
      <w:r>
        <w:t xml:space="preserve">TDJ Estate rozwijał </w:t>
      </w:r>
      <w:r w:rsidR="00AC45C4">
        <w:t xml:space="preserve">także </w:t>
      </w:r>
      <w:r>
        <w:t xml:space="preserve">ofertę lokali usługowych w ramach realizowanych inwestycji mieszkaniowych, projektując je z myślą o codziennych potrzebach mieszkańców i budowaniu lokalnej infrastruktury. </w:t>
      </w:r>
      <w:r w:rsidR="00AC45C4">
        <w:t xml:space="preserve">W 2025 roku </w:t>
      </w:r>
      <w:r w:rsidR="0029750B">
        <w:t>S</w:t>
      </w:r>
      <w:r>
        <w:t>półka sprzedała 18 lokali użytkowych o łącznej powierzchni blisko 1600 mkw. w czterech projektach: Osiedlu Franciszkańskim, Pierwszej Dzielnicy,</w:t>
      </w:r>
      <w:r w:rsidR="00E86AF1">
        <w:t xml:space="preserve"> Osiedlu</w:t>
      </w:r>
      <w:r>
        <w:t xml:space="preserve"> Dobryn</w:t>
      </w:r>
      <w:r w:rsidR="00E86AF1">
        <w:t>ów</w:t>
      </w:r>
      <w:r>
        <w:t xml:space="preserve"> oraz Zielonej Dolinie. Równolegle zawarto 11 umów przedwstępnych na </w:t>
      </w:r>
      <w:r w:rsidR="00AC45C4">
        <w:t xml:space="preserve">lokale o </w:t>
      </w:r>
      <w:r>
        <w:t>łączn</w:t>
      </w:r>
      <w:r w:rsidR="00AC45C4">
        <w:t>ej</w:t>
      </w:r>
      <w:r>
        <w:t xml:space="preserve"> powierzchni ok. 1300 mkw.</w:t>
      </w:r>
      <w:r w:rsidR="00AC45C4">
        <w:t>,</w:t>
      </w:r>
      <w:r>
        <w:t xml:space="preserve"> w </w:t>
      </w:r>
      <w:r w:rsidR="00AC45C4">
        <w:t xml:space="preserve">tym w dwóch </w:t>
      </w:r>
      <w:r>
        <w:lastRenderedPageBreak/>
        <w:t>krakowskich projektach</w:t>
      </w:r>
      <w:r w:rsidR="00C06621">
        <w:t xml:space="preserve"> </w:t>
      </w:r>
      <w:r w:rsidR="005D6F56">
        <w:t xml:space="preserve">w trakcie budowy </w:t>
      </w:r>
      <w:r w:rsidR="00505A17">
        <w:t>–</w:t>
      </w:r>
      <w:r w:rsidR="00C06621">
        <w:t xml:space="preserve"> Osiedlu</w:t>
      </w:r>
      <w:r>
        <w:t xml:space="preserve"> Imbramowski</w:t>
      </w:r>
      <w:r w:rsidR="00C06621">
        <w:t>m</w:t>
      </w:r>
      <w:r>
        <w:t xml:space="preserve"> i</w:t>
      </w:r>
      <w:r w:rsidR="00C06621">
        <w:t xml:space="preserve"> Osiedlu Meiera.</w:t>
      </w:r>
      <w:r>
        <w:t xml:space="preserve"> Dodatkowo spółka wynajęła trzy lokale o łącznej powierzchni 380 mkw. na Osiedlu Franciszkańskim, </w:t>
      </w:r>
      <w:r w:rsidR="00AC45C4">
        <w:t xml:space="preserve">co zaowocuje w tym roku </w:t>
      </w:r>
      <w:r w:rsidR="00B05CC0">
        <w:t>zwiększ</w:t>
      </w:r>
      <w:r w:rsidR="00AC45C4">
        <w:t>eniem</w:t>
      </w:r>
      <w:r>
        <w:t xml:space="preserve"> dostępnoś</w:t>
      </w:r>
      <w:r w:rsidR="00AC45C4">
        <w:t>ci</w:t>
      </w:r>
      <w:r>
        <w:t xml:space="preserve"> usług dla lokalnej społeczności.</w:t>
      </w:r>
    </w:p>
    <w:p w14:paraId="22C459F3" w14:textId="23FE31D4" w:rsidR="00CC4433" w:rsidRPr="001817BF" w:rsidRDefault="00CC4433" w:rsidP="00CC4433">
      <w:pPr>
        <w:jc w:val="both"/>
        <w:rPr>
          <w:b/>
          <w:bCs/>
        </w:rPr>
      </w:pPr>
      <w:r w:rsidRPr="001817BF">
        <w:rPr>
          <w:b/>
          <w:bCs/>
        </w:rPr>
        <w:t xml:space="preserve">Duże zainteresowanie </w:t>
      </w:r>
      <w:r w:rsidR="001817BF">
        <w:rPr>
          <w:b/>
          <w:bCs/>
        </w:rPr>
        <w:t>inwestycją biurową</w:t>
      </w:r>
      <w:r w:rsidRPr="001817BF">
        <w:rPr>
          <w:b/>
          <w:bCs/>
        </w:rPr>
        <w:t xml:space="preserve"> .KTW</w:t>
      </w:r>
    </w:p>
    <w:p w14:paraId="7FED7543" w14:textId="414D4FE7" w:rsidR="00E93B99" w:rsidRDefault="00994022" w:rsidP="00CC4433">
      <w:pPr>
        <w:jc w:val="both"/>
      </w:pPr>
      <w:r w:rsidRPr="00994022">
        <w:t xml:space="preserve">TDJ Estate poza </w:t>
      </w:r>
      <w:r w:rsidR="005D6F56">
        <w:t>ofertą</w:t>
      </w:r>
      <w:r w:rsidR="005D6F56" w:rsidRPr="00994022">
        <w:t xml:space="preserve"> </w:t>
      </w:r>
      <w:r w:rsidRPr="00994022">
        <w:t>mieszkaniow</w:t>
      </w:r>
      <w:r w:rsidR="005D6F56">
        <w:t>ą</w:t>
      </w:r>
      <w:r w:rsidRPr="00994022">
        <w:t xml:space="preserve"> posiada w swoim portfolio m.in. kompleks biurow</w:t>
      </w:r>
      <w:r w:rsidR="005D6F56">
        <w:t>o-usługow</w:t>
      </w:r>
      <w:r w:rsidRPr="00994022">
        <w:t>y .KTW w Katowicach. W 2025 r</w:t>
      </w:r>
      <w:r w:rsidR="005D6F56">
        <w:t>oku</w:t>
      </w:r>
      <w:r w:rsidRPr="00994022">
        <w:t xml:space="preserve"> </w:t>
      </w:r>
      <w:r w:rsidR="005D6F56">
        <w:t>S</w:t>
      </w:r>
      <w:r w:rsidRPr="00994022">
        <w:t>półka zawar</w:t>
      </w:r>
      <w:r w:rsidR="005D6F56">
        <w:t>ła</w:t>
      </w:r>
      <w:r w:rsidRPr="00994022">
        <w:t xml:space="preserve"> 7 nowych umów najmu</w:t>
      </w:r>
      <w:r w:rsidR="005D6F56">
        <w:t>, co przełożyło się na osiągnięcie 90% komercjalizacji budynku .KTW II</w:t>
      </w:r>
      <w:r w:rsidR="00304F13">
        <w:t>,</w:t>
      </w:r>
      <w:r w:rsidRPr="00994022">
        <w:t xml:space="preserve"> oraz przedłuż</w:t>
      </w:r>
      <w:r w:rsidR="005D6F56">
        <w:t>yła</w:t>
      </w:r>
      <w:r w:rsidRPr="00994022">
        <w:t xml:space="preserve"> 4 dotychczasowe</w:t>
      </w:r>
      <w:r w:rsidR="005D6F56">
        <w:t xml:space="preserve"> najm</w:t>
      </w:r>
      <w:r w:rsidR="000C2CE5">
        <w:t>y</w:t>
      </w:r>
      <w:r w:rsidRPr="00994022">
        <w:t xml:space="preserve">, co potwierdza niesłabnące zainteresowanie przestrzeniami </w:t>
      </w:r>
      <w:r w:rsidR="005D6F56">
        <w:t xml:space="preserve">flagowych </w:t>
      </w:r>
      <w:r w:rsidRPr="00994022">
        <w:t xml:space="preserve">biurowców. Łączny wolumen powierzchni </w:t>
      </w:r>
      <w:r w:rsidR="005D6F56" w:rsidRPr="00994022">
        <w:t xml:space="preserve">wynajętej </w:t>
      </w:r>
      <w:r w:rsidR="005D6F56">
        <w:t xml:space="preserve">w 2025 roku </w:t>
      </w:r>
      <w:r w:rsidRPr="00994022">
        <w:t>wyniósł 18,4 tys. mkw. – z czego 13,4 tys. mkw. przypadło na nowe kontrakty, a 5 tys. mkw. na um</w:t>
      </w:r>
      <w:r w:rsidR="00CE7145">
        <w:t>owy przedłużone</w:t>
      </w:r>
      <w:r w:rsidRPr="00994022">
        <w:t>. Aktywność najemców przełożyła się również na intensywne prace adaptacyjne</w:t>
      </w:r>
      <w:r w:rsidR="00CE7145">
        <w:t>.</w:t>
      </w:r>
      <w:r w:rsidRPr="00994022">
        <w:t xml:space="preserve"> </w:t>
      </w:r>
      <w:r w:rsidR="00CE7145">
        <w:t>Ł</w:t>
      </w:r>
      <w:r w:rsidRPr="00994022">
        <w:t>ączny wolumen realizowanych fit-outów i rearanżacji objął ok. 15 tys. mkw.</w:t>
      </w:r>
    </w:p>
    <w:p w14:paraId="5258A18C" w14:textId="774A6289" w:rsidR="00CC4433" w:rsidRDefault="00BE15FB" w:rsidP="00CC4433">
      <w:pPr>
        <w:jc w:val="both"/>
      </w:pPr>
      <w:r w:rsidRPr="00BE15FB">
        <w:t>Rok 2025 potwierdził skuteczność długofalowej strategii TDJ Estate, opartej na dywersyfikacji portfela</w:t>
      </w:r>
      <w:r>
        <w:t xml:space="preserve"> nieruchomości</w:t>
      </w:r>
      <w:r w:rsidRPr="00BE15FB">
        <w:t xml:space="preserve">, jakości projektów oraz konsekwentnej ekspansji geograficznej. </w:t>
      </w:r>
      <w:r>
        <w:t>Efektywna</w:t>
      </w:r>
      <w:r w:rsidRPr="00BE15FB">
        <w:t xml:space="preserve"> sprzedaż mieszkań, rosnąca aktywność w Krakowie oraz wysoki poziom komercjalizacji powierzchni biurowych </w:t>
      </w:r>
      <w:r>
        <w:t>potwierdzają</w:t>
      </w:r>
      <w:r w:rsidRPr="00BE15FB">
        <w:t xml:space="preserve"> odporność spółki na zmienność rynkową. Jednocześnie </w:t>
      </w:r>
      <w:r w:rsidR="005D6944">
        <w:t>planowanie</w:t>
      </w:r>
      <w:r w:rsidRPr="00BE15FB">
        <w:t xml:space="preserve"> lokali usługowych w ramach inwestycji mieszkaniowych wzmacnia funkcjonalność realizowanych osiedli i buduje ich długoterminową wartość. TDJ Estate wchodzi w kolejny rok z silnym pipeline’em projektowym oraz jasno zdefiniowanymi kierunkami rozwoju.</w:t>
      </w:r>
    </w:p>
    <w:p w14:paraId="2D3A66AE" w14:textId="77777777" w:rsidR="00CC4433" w:rsidRDefault="00CC4433" w:rsidP="00CC4433">
      <w:pPr>
        <w:jc w:val="both"/>
      </w:pPr>
    </w:p>
    <w:p w14:paraId="228AB729" w14:textId="2F393FAC" w:rsidR="00842D0E" w:rsidRPr="00AB48A7" w:rsidRDefault="00842D0E" w:rsidP="00DC3A02">
      <w:pPr>
        <w:jc w:val="both"/>
        <w:rPr>
          <w:sz w:val="20"/>
          <w:szCs w:val="20"/>
        </w:rPr>
      </w:pPr>
      <w:r w:rsidRPr="00AB48A7">
        <w:rPr>
          <w:sz w:val="20"/>
          <w:szCs w:val="20"/>
        </w:rPr>
        <w:t>*** </w:t>
      </w:r>
    </w:p>
    <w:p w14:paraId="3EA15744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TDJ Estate jest częścią grupy TDJ, rodzinnej firmy inwestycyjnej, która buduje długoterminową wartość, realizując projekty w obszarach: Equity, Venture, Estate, Finance i Foundation. W portfolio TDJ Estate znajdują się nagradzane inwestycje biurowe i mieszkaniowe</w:t>
      </w:r>
      <w:r>
        <w:rPr>
          <w:sz w:val="18"/>
          <w:szCs w:val="18"/>
        </w:rPr>
        <w:t xml:space="preserve">. </w:t>
      </w:r>
    </w:p>
    <w:p w14:paraId="4E9DAE75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t>Flagową inwestycją TDJ Estate jest kompleks biurowy .KTW – jeden z symboli nowoczesnej architektury Katowic, zlokalizowany w Strefie Kultury, w bezpośrednim sąsiedztwie Spodka i Międzynarodowego Centrum Kongresowego. Projekt zdobył liczne nagrody, w tym European Property Awards oraz Nagrodę Roku SARP, i uchodzi za jedną z</w:t>
      </w:r>
      <w:r>
        <w:rPr>
          <w:sz w:val="18"/>
          <w:szCs w:val="18"/>
        </w:rPr>
        <w:t> </w:t>
      </w:r>
      <w:r w:rsidRPr="007B02F6">
        <w:rPr>
          <w:sz w:val="18"/>
          <w:szCs w:val="18"/>
        </w:rPr>
        <w:t>najbardziej znaczących i rozpoznawalnych inwestycji komercyjnych ostatniej dekady w Polsce.</w:t>
      </w:r>
    </w:p>
    <w:p w14:paraId="123AA7C8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TDJ Estate sprzedało już ponad 2700 mieszkań</w:t>
      </w:r>
      <w:r>
        <w:rPr>
          <w:sz w:val="18"/>
          <w:szCs w:val="18"/>
        </w:rPr>
        <w:t>,</w:t>
      </w:r>
      <w:r w:rsidRPr="00D75C18">
        <w:rPr>
          <w:sz w:val="18"/>
          <w:szCs w:val="18"/>
        </w:rPr>
        <w:t xml:space="preserve"> W portfolio spółki znajduje się m.in. katowicka </w:t>
      </w:r>
      <w:r w:rsidRPr="00F20A2E">
        <w:rPr>
          <w:sz w:val="18"/>
          <w:szCs w:val="18"/>
        </w:rPr>
        <w:t>Pierwsza Dzielnica</w:t>
      </w:r>
      <w:r w:rsidRPr="00D75C18">
        <w:rPr>
          <w:sz w:val="18"/>
          <w:szCs w:val="18"/>
        </w:rPr>
        <w:t xml:space="preserve"> – nowoczesna, wieloetapowa inwestycja</w:t>
      </w:r>
      <w:r>
        <w:rPr>
          <w:sz w:val="18"/>
          <w:szCs w:val="18"/>
        </w:rPr>
        <w:t xml:space="preserve"> znajdująca się w</w:t>
      </w:r>
      <w:r w:rsidRPr="00D75C18">
        <w:rPr>
          <w:sz w:val="18"/>
          <w:szCs w:val="18"/>
        </w:rPr>
        <w:t xml:space="preserve"> Stref</w:t>
      </w:r>
      <w:r>
        <w:rPr>
          <w:sz w:val="18"/>
          <w:szCs w:val="18"/>
        </w:rPr>
        <w:t xml:space="preserve">ie </w:t>
      </w:r>
      <w:r w:rsidRPr="00D75C18">
        <w:rPr>
          <w:sz w:val="18"/>
          <w:szCs w:val="18"/>
        </w:rPr>
        <w:t xml:space="preserve">Kultury, nagrodzona m.in. w konkursie </w:t>
      </w:r>
      <w:r w:rsidRPr="00F20A2E">
        <w:rPr>
          <w:sz w:val="18"/>
          <w:szCs w:val="18"/>
        </w:rPr>
        <w:t>European Property Awards</w:t>
      </w:r>
      <w:r w:rsidRPr="00D75C18">
        <w:rPr>
          <w:sz w:val="18"/>
          <w:szCs w:val="18"/>
        </w:rPr>
        <w:t>.</w:t>
      </w:r>
    </w:p>
    <w:p w14:paraId="6F435EFF" w14:textId="77777777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>Do innych, rozpoznawalnych na Górnym Śląsku inwestycji dewelopera należą m.in.: zakończone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Osiedle Franciszkańskie</w:t>
      </w:r>
      <w:r w:rsidRPr="00D75C18">
        <w:rPr>
          <w:sz w:val="18"/>
          <w:szCs w:val="18"/>
        </w:rPr>
        <w:t xml:space="preserve"> liczące ponad 1300 mieszkań, </w:t>
      </w:r>
      <w:r w:rsidRPr="00F20A2E">
        <w:rPr>
          <w:sz w:val="18"/>
          <w:szCs w:val="18"/>
        </w:rPr>
        <w:t>Osiedle Bardowskiego</w:t>
      </w:r>
      <w:r w:rsidRPr="00D75C18">
        <w:rPr>
          <w:sz w:val="18"/>
          <w:szCs w:val="18"/>
        </w:rPr>
        <w:t xml:space="preserve">, </w:t>
      </w:r>
      <w:r w:rsidRPr="00F20A2E">
        <w:rPr>
          <w:sz w:val="18"/>
          <w:szCs w:val="18"/>
        </w:rPr>
        <w:t>Dobrynów</w:t>
      </w:r>
      <w:r w:rsidRPr="00D75C1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F20A2E">
        <w:rPr>
          <w:sz w:val="18"/>
          <w:szCs w:val="18"/>
        </w:rPr>
        <w:t>Sarnie Osiedle</w:t>
      </w:r>
      <w:r w:rsidRPr="00D75C18">
        <w:rPr>
          <w:sz w:val="18"/>
          <w:szCs w:val="18"/>
        </w:rPr>
        <w:t xml:space="preserve"> w Bielsku-Białej, </w:t>
      </w:r>
      <w:r>
        <w:rPr>
          <w:sz w:val="18"/>
          <w:szCs w:val="18"/>
        </w:rPr>
        <w:t xml:space="preserve">a także </w:t>
      </w:r>
      <w:r w:rsidRPr="00F20A2E">
        <w:rPr>
          <w:sz w:val="18"/>
          <w:szCs w:val="18"/>
        </w:rPr>
        <w:t>Zielona Dolina</w:t>
      </w:r>
      <w:r w:rsidRPr="00D75C18">
        <w:rPr>
          <w:sz w:val="18"/>
          <w:szCs w:val="18"/>
        </w:rPr>
        <w:t xml:space="preserve"> w Zabrzu oraz najnowsza inwestycja – </w:t>
      </w:r>
      <w:r w:rsidRPr="00F20A2E">
        <w:rPr>
          <w:sz w:val="18"/>
          <w:szCs w:val="18"/>
        </w:rPr>
        <w:t>Osiedle Hierowskiego</w:t>
      </w:r>
      <w:r w:rsidRPr="00D75C18">
        <w:rPr>
          <w:sz w:val="18"/>
          <w:szCs w:val="18"/>
        </w:rPr>
        <w:t xml:space="preserve"> w Katowicach.</w:t>
      </w:r>
    </w:p>
    <w:p w14:paraId="06A05773" w14:textId="5E0EF733" w:rsidR="00842D0E" w:rsidRPr="00D75C18" w:rsidRDefault="00842D0E" w:rsidP="00842D0E">
      <w:pPr>
        <w:jc w:val="both"/>
        <w:rPr>
          <w:sz w:val="18"/>
          <w:szCs w:val="18"/>
        </w:rPr>
      </w:pPr>
      <w:r w:rsidRPr="00D75C18">
        <w:rPr>
          <w:sz w:val="18"/>
          <w:szCs w:val="18"/>
        </w:rPr>
        <w:t xml:space="preserve">Deweloper realizuje również inwestycje w Krakowie – </w:t>
      </w:r>
      <w:r w:rsidRPr="00F20A2E">
        <w:rPr>
          <w:sz w:val="18"/>
          <w:szCs w:val="18"/>
        </w:rPr>
        <w:t>Osiedle Imbramowskie</w:t>
      </w:r>
      <w:r w:rsidR="0027345A">
        <w:rPr>
          <w:sz w:val="18"/>
          <w:szCs w:val="18"/>
        </w:rPr>
        <w:t xml:space="preserve"> </w:t>
      </w:r>
      <w:r w:rsidR="0027345A" w:rsidRPr="00427099">
        <w:rPr>
          <w:sz w:val="18"/>
          <w:szCs w:val="18"/>
        </w:rPr>
        <w:t xml:space="preserve">oraz </w:t>
      </w:r>
      <w:r w:rsidRPr="00427099">
        <w:rPr>
          <w:sz w:val="18"/>
          <w:szCs w:val="18"/>
        </w:rPr>
        <w:t>osiedle Meiera.</w:t>
      </w:r>
    </w:p>
    <w:p w14:paraId="50477F2A" w14:textId="77777777" w:rsidR="00842D0E" w:rsidRPr="007B02F6" w:rsidRDefault="00842D0E" w:rsidP="00842D0E">
      <w:pPr>
        <w:jc w:val="both"/>
        <w:rPr>
          <w:sz w:val="18"/>
          <w:szCs w:val="18"/>
        </w:rPr>
      </w:pPr>
      <w:r w:rsidRPr="007B02F6">
        <w:rPr>
          <w:sz w:val="18"/>
          <w:szCs w:val="18"/>
        </w:rPr>
        <w:lastRenderedPageBreak/>
        <w:t>Spółka realizuje swoją strategię z uwzględnieniem zasad zrównoważonego rozwoju i społecznej odpowiedzialności biznesu – dba o relacje z lokalnymi społecznościami, jakość przestrzeni publicznej oraz długoterminowy wpływ swoich inwestycji na otoczenie.</w:t>
      </w:r>
    </w:p>
    <w:p w14:paraId="455E5B49" w14:textId="2464707A" w:rsidR="006C1483" w:rsidRPr="004079E2" w:rsidRDefault="00842D0E" w:rsidP="004079E2">
      <w:pPr>
        <w:jc w:val="both"/>
      </w:pPr>
      <w:r w:rsidRPr="007B02F6">
        <w:rPr>
          <w:sz w:val="18"/>
          <w:szCs w:val="18"/>
        </w:rPr>
        <w:t xml:space="preserve">Więcej informacji na stronie: </w:t>
      </w:r>
      <w:hyperlink r:id="rId7" w:history="1">
        <w:r w:rsidRPr="007B02F6">
          <w:rPr>
            <w:rStyle w:val="Hipercze"/>
            <w:sz w:val="18"/>
            <w:szCs w:val="18"/>
          </w:rPr>
          <w:t>www.tdjestate.pl</w:t>
        </w:r>
      </w:hyperlink>
    </w:p>
    <w:sectPr w:rsidR="006C1483" w:rsidRPr="004079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5DD28" w14:textId="77777777" w:rsidR="009E217B" w:rsidRDefault="009E217B" w:rsidP="001F533E">
      <w:pPr>
        <w:spacing w:after="0" w:line="240" w:lineRule="auto"/>
      </w:pPr>
      <w:r>
        <w:separator/>
      </w:r>
    </w:p>
  </w:endnote>
  <w:endnote w:type="continuationSeparator" w:id="0">
    <w:p w14:paraId="72B706EE" w14:textId="77777777" w:rsidR="009E217B" w:rsidRDefault="009E217B" w:rsidP="001F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1FDF9" w14:textId="77777777" w:rsidR="009E217B" w:rsidRDefault="009E217B" w:rsidP="001F533E">
      <w:pPr>
        <w:spacing w:after="0" w:line="240" w:lineRule="auto"/>
      </w:pPr>
      <w:r>
        <w:separator/>
      </w:r>
    </w:p>
  </w:footnote>
  <w:footnote w:type="continuationSeparator" w:id="0">
    <w:p w14:paraId="3C5EAD3D" w14:textId="77777777" w:rsidR="009E217B" w:rsidRDefault="009E217B" w:rsidP="001F5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551B6" w14:textId="1FCFD613" w:rsidR="001F533E" w:rsidRDefault="001F533E">
    <w:pPr>
      <w:pStyle w:val="Nagwek"/>
    </w:pPr>
    <w:r>
      <w:rPr>
        <w:noProof/>
      </w:rPr>
      <w:drawing>
        <wp:inline distT="0" distB="0" distL="0" distR="0" wp14:anchorId="7D1965DC" wp14:editId="16E06CD6">
          <wp:extent cx="1231315" cy="1089660"/>
          <wp:effectExtent l="0" t="0" r="0" b="0"/>
          <wp:docPr id="1337271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719" cy="109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0FE7"/>
    <w:multiLevelType w:val="multilevel"/>
    <w:tmpl w:val="81BCB0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25B11"/>
    <w:multiLevelType w:val="multilevel"/>
    <w:tmpl w:val="A62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E33CB"/>
    <w:multiLevelType w:val="multilevel"/>
    <w:tmpl w:val="5760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13B36"/>
    <w:multiLevelType w:val="multilevel"/>
    <w:tmpl w:val="9560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730E5"/>
    <w:multiLevelType w:val="multilevel"/>
    <w:tmpl w:val="1BE0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F0513"/>
    <w:multiLevelType w:val="multilevel"/>
    <w:tmpl w:val="BEB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C3B71"/>
    <w:multiLevelType w:val="multilevel"/>
    <w:tmpl w:val="1DC8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207181">
    <w:abstractNumId w:val="3"/>
  </w:num>
  <w:num w:numId="2" w16cid:durableId="644237864">
    <w:abstractNumId w:val="6"/>
  </w:num>
  <w:num w:numId="3" w16cid:durableId="320472250">
    <w:abstractNumId w:val="0"/>
  </w:num>
  <w:num w:numId="4" w16cid:durableId="682131393">
    <w:abstractNumId w:val="5"/>
  </w:num>
  <w:num w:numId="5" w16cid:durableId="521817972">
    <w:abstractNumId w:val="4"/>
  </w:num>
  <w:num w:numId="6" w16cid:durableId="244342025">
    <w:abstractNumId w:val="1"/>
  </w:num>
  <w:num w:numId="7" w16cid:durableId="1203178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03"/>
    <w:rsid w:val="0000579A"/>
    <w:rsid w:val="000134A8"/>
    <w:rsid w:val="00015DE8"/>
    <w:rsid w:val="000220D9"/>
    <w:rsid w:val="00027974"/>
    <w:rsid w:val="000412F4"/>
    <w:rsid w:val="00043A71"/>
    <w:rsid w:val="00043EEE"/>
    <w:rsid w:val="000441EC"/>
    <w:rsid w:val="000509FE"/>
    <w:rsid w:val="000513F9"/>
    <w:rsid w:val="00052246"/>
    <w:rsid w:val="00056A75"/>
    <w:rsid w:val="00057F47"/>
    <w:rsid w:val="00061AF7"/>
    <w:rsid w:val="00066958"/>
    <w:rsid w:val="00083940"/>
    <w:rsid w:val="00087A22"/>
    <w:rsid w:val="00091802"/>
    <w:rsid w:val="0009393E"/>
    <w:rsid w:val="0009668C"/>
    <w:rsid w:val="000A292F"/>
    <w:rsid w:val="000A6436"/>
    <w:rsid w:val="000B0748"/>
    <w:rsid w:val="000B1E00"/>
    <w:rsid w:val="000B235F"/>
    <w:rsid w:val="000B24A0"/>
    <w:rsid w:val="000C2CE5"/>
    <w:rsid w:val="000C7BD7"/>
    <w:rsid w:val="000D1A8F"/>
    <w:rsid w:val="000D1D52"/>
    <w:rsid w:val="000D432E"/>
    <w:rsid w:val="000E15CE"/>
    <w:rsid w:val="000E30BC"/>
    <w:rsid w:val="000F10C2"/>
    <w:rsid w:val="000F30E1"/>
    <w:rsid w:val="000F7C2E"/>
    <w:rsid w:val="0010366B"/>
    <w:rsid w:val="00110517"/>
    <w:rsid w:val="001208E3"/>
    <w:rsid w:val="00120E09"/>
    <w:rsid w:val="00120E15"/>
    <w:rsid w:val="0014186F"/>
    <w:rsid w:val="00143FEA"/>
    <w:rsid w:val="00151F8D"/>
    <w:rsid w:val="001565C0"/>
    <w:rsid w:val="0017044E"/>
    <w:rsid w:val="001708E4"/>
    <w:rsid w:val="00172D6F"/>
    <w:rsid w:val="00175A7F"/>
    <w:rsid w:val="001817BF"/>
    <w:rsid w:val="0018228D"/>
    <w:rsid w:val="001933E1"/>
    <w:rsid w:val="001956A9"/>
    <w:rsid w:val="001A1D60"/>
    <w:rsid w:val="001A1FE4"/>
    <w:rsid w:val="001B2CF4"/>
    <w:rsid w:val="001C090A"/>
    <w:rsid w:val="001C19B8"/>
    <w:rsid w:val="001C2E15"/>
    <w:rsid w:val="001C55C5"/>
    <w:rsid w:val="001C70C1"/>
    <w:rsid w:val="001D62D8"/>
    <w:rsid w:val="001D79B1"/>
    <w:rsid w:val="001E044E"/>
    <w:rsid w:val="001E3246"/>
    <w:rsid w:val="001E7356"/>
    <w:rsid w:val="001F533E"/>
    <w:rsid w:val="002108B0"/>
    <w:rsid w:val="002165B6"/>
    <w:rsid w:val="0022295E"/>
    <w:rsid w:val="00225792"/>
    <w:rsid w:val="0022651A"/>
    <w:rsid w:val="00231F4D"/>
    <w:rsid w:val="002321B7"/>
    <w:rsid w:val="00233D33"/>
    <w:rsid w:val="0023403F"/>
    <w:rsid w:val="00262FCC"/>
    <w:rsid w:val="00265F1A"/>
    <w:rsid w:val="0027345A"/>
    <w:rsid w:val="00280662"/>
    <w:rsid w:val="00284AF0"/>
    <w:rsid w:val="00286312"/>
    <w:rsid w:val="0029750B"/>
    <w:rsid w:val="002A046C"/>
    <w:rsid w:val="002A1AE8"/>
    <w:rsid w:val="002B6414"/>
    <w:rsid w:val="002B78D0"/>
    <w:rsid w:val="002C71C5"/>
    <w:rsid w:val="002D477C"/>
    <w:rsid w:val="002D51CC"/>
    <w:rsid w:val="002E0FDA"/>
    <w:rsid w:val="002E1B03"/>
    <w:rsid w:val="002E7F6C"/>
    <w:rsid w:val="002F4BA9"/>
    <w:rsid w:val="00300129"/>
    <w:rsid w:val="00304F13"/>
    <w:rsid w:val="003069A8"/>
    <w:rsid w:val="003159DA"/>
    <w:rsid w:val="00315CB1"/>
    <w:rsid w:val="003215D1"/>
    <w:rsid w:val="00322B68"/>
    <w:rsid w:val="00322D80"/>
    <w:rsid w:val="0032384F"/>
    <w:rsid w:val="0032482D"/>
    <w:rsid w:val="003264F3"/>
    <w:rsid w:val="00326FFD"/>
    <w:rsid w:val="00333A36"/>
    <w:rsid w:val="003349CF"/>
    <w:rsid w:val="00337633"/>
    <w:rsid w:val="003433D1"/>
    <w:rsid w:val="00346976"/>
    <w:rsid w:val="00346DA1"/>
    <w:rsid w:val="00347683"/>
    <w:rsid w:val="003510F8"/>
    <w:rsid w:val="003564D4"/>
    <w:rsid w:val="0036237F"/>
    <w:rsid w:val="003648B2"/>
    <w:rsid w:val="00390332"/>
    <w:rsid w:val="003928AD"/>
    <w:rsid w:val="00393AB9"/>
    <w:rsid w:val="0039493A"/>
    <w:rsid w:val="00394F7E"/>
    <w:rsid w:val="003955AA"/>
    <w:rsid w:val="003A0046"/>
    <w:rsid w:val="003A3446"/>
    <w:rsid w:val="003A4337"/>
    <w:rsid w:val="003A4869"/>
    <w:rsid w:val="003B0D1A"/>
    <w:rsid w:val="003B3881"/>
    <w:rsid w:val="003B3DB8"/>
    <w:rsid w:val="003C47C5"/>
    <w:rsid w:val="003D3023"/>
    <w:rsid w:val="003E57D2"/>
    <w:rsid w:val="003E5F84"/>
    <w:rsid w:val="00401980"/>
    <w:rsid w:val="00403456"/>
    <w:rsid w:val="0040512D"/>
    <w:rsid w:val="004079E2"/>
    <w:rsid w:val="00424AA5"/>
    <w:rsid w:val="00427099"/>
    <w:rsid w:val="00427A19"/>
    <w:rsid w:val="004335C1"/>
    <w:rsid w:val="00447B97"/>
    <w:rsid w:val="00451E78"/>
    <w:rsid w:val="004648F2"/>
    <w:rsid w:val="0046564B"/>
    <w:rsid w:val="00473E87"/>
    <w:rsid w:val="00480C9F"/>
    <w:rsid w:val="0048548C"/>
    <w:rsid w:val="0048563F"/>
    <w:rsid w:val="0048601B"/>
    <w:rsid w:val="004922DB"/>
    <w:rsid w:val="004A0EAE"/>
    <w:rsid w:val="004C2E98"/>
    <w:rsid w:val="004C32EB"/>
    <w:rsid w:val="004C4044"/>
    <w:rsid w:val="004C4867"/>
    <w:rsid w:val="004C7147"/>
    <w:rsid w:val="004E020B"/>
    <w:rsid w:val="004F109C"/>
    <w:rsid w:val="004F15EC"/>
    <w:rsid w:val="00500934"/>
    <w:rsid w:val="005015B8"/>
    <w:rsid w:val="00504CB3"/>
    <w:rsid w:val="00505A17"/>
    <w:rsid w:val="00507283"/>
    <w:rsid w:val="00515B35"/>
    <w:rsid w:val="0052070C"/>
    <w:rsid w:val="0052095B"/>
    <w:rsid w:val="00525644"/>
    <w:rsid w:val="00536C7A"/>
    <w:rsid w:val="005448B0"/>
    <w:rsid w:val="00552259"/>
    <w:rsid w:val="005526F2"/>
    <w:rsid w:val="00553DE5"/>
    <w:rsid w:val="00554B42"/>
    <w:rsid w:val="00564FD5"/>
    <w:rsid w:val="00566A29"/>
    <w:rsid w:val="005710FF"/>
    <w:rsid w:val="0057124B"/>
    <w:rsid w:val="00574B6B"/>
    <w:rsid w:val="00577EC2"/>
    <w:rsid w:val="00584361"/>
    <w:rsid w:val="00585943"/>
    <w:rsid w:val="00591C04"/>
    <w:rsid w:val="00593C9A"/>
    <w:rsid w:val="005949E1"/>
    <w:rsid w:val="005B0802"/>
    <w:rsid w:val="005B2B6D"/>
    <w:rsid w:val="005B53D6"/>
    <w:rsid w:val="005C085F"/>
    <w:rsid w:val="005C374F"/>
    <w:rsid w:val="005C3DA3"/>
    <w:rsid w:val="005C5CD3"/>
    <w:rsid w:val="005C5E62"/>
    <w:rsid w:val="005D6944"/>
    <w:rsid w:val="005D6F56"/>
    <w:rsid w:val="005E186D"/>
    <w:rsid w:val="005E79CE"/>
    <w:rsid w:val="005F20C1"/>
    <w:rsid w:val="00607EF5"/>
    <w:rsid w:val="00610CED"/>
    <w:rsid w:val="006134BF"/>
    <w:rsid w:val="00616FE8"/>
    <w:rsid w:val="0062562D"/>
    <w:rsid w:val="00631404"/>
    <w:rsid w:val="00641981"/>
    <w:rsid w:val="00642292"/>
    <w:rsid w:val="00645569"/>
    <w:rsid w:val="006456FC"/>
    <w:rsid w:val="00651A28"/>
    <w:rsid w:val="00657D04"/>
    <w:rsid w:val="00657F74"/>
    <w:rsid w:val="00683A4A"/>
    <w:rsid w:val="00687470"/>
    <w:rsid w:val="006938E0"/>
    <w:rsid w:val="00694309"/>
    <w:rsid w:val="00697DEF"/>
    <w:rsid w:val="006A3617"/>
    <w:rsid w:val="006A6328"/>
    <w:rsid w:val="006B0312"/>
    <w:rsid w:val="006B1C9E"/>
    <w:rsid w:val="006C1483"/>
    <w:rsid w:val="006C2A42"/>
    <w:rsid w:val="006C5266"/>
    <w:rsid w:val="006D001A"/>
    <w:rsid w:val="006D304E"/>
    <w:rsid w:val="006D39D2"/>
    <w:rsid w:val="006E39ED"/>
    <w:rsid w:val="006F7DEC"/>
    <w:rsid w:val="007050D0"/>
    <w:rsid w:val="007063D1"/>
    <w:rsid w:val="00707A02"/>
    <w:rsid w:val="00712621"/>
    <w:rsid w:val="00712F2B"/>
    <w:rsid w:val="00714463"/>
    <w:rsid w:val="00716E08"/>
    <w:rsid w:val="007267AC"/>
    <w:rsid w:val="0073290E"/>
    <w:rsid w:val="00733EE6"/>
    <w:rsid w:val="0073629F"/>
    <w:rsid w:val="007362E2"/>
    <w:rsid w:val="007365CD"/>
    <w:rsid w:val="007407C5"/>
    <w:rsid w:val="0075518E"/>
    <w:rsid w:val="00757760"/>
    <w:rsid w:val="00762B01"/>
    <w:rsid w:val="00762D80"/>
    <w:rsid w:val="00765973"/>
    <w:rsid w:val="0077246D"/>
    <w:rsid w:val="00775AFC"/>
    <w:rsid w:val="00775F51"/>
    <w:rsid w:val="00776A1D"/>
    <w:rsid w:val="0078473A"/>
    <w:rsid w:val="007854E1"/>
    <w:rsid w:val="00797184"/>
    <w:rsid w:val="007A4E14"/>
    <w:rsid w:val="007C0585"/>
    <w:rsid w:val="007C0CE0"/>
    <w:rsid w:val="007C1A73"/>
    <w:rsid w:val="007C5C86"/>
    <w:rsid w:val="007C61A4"/>
    <w:rsid w:val="007D1CE8"/>
    <w:rsid w:val="007D2457"/>
    <w:rsid w:val="007E409F"/>
    <w:rsid w:val="007F559B"/>
    <w:rsid w:val="007F76A5"/>
    <w:rsid w:val="007F784A"/>
    <w:rsid w:val="00800556"/>
    <w:rsid w:val="008023F2"/>
    <w:rsid w:val="008138CF"/>
    <w:rsid w:val="0081700D"/>
    <w:rsid w:val="00821E22"/>
    <w:rsid w:val="00824528"/>
    <w:rsid w:val="008268DC"/>
    <w:rsid w:val="008305EF"/>
    <w:rsid w:val="0083326E"/>
    <w:rsid w:val="008350B4"/>
    <w:rsid w:val="0083588E"/>
    <w:rsid w:val="00842D0E"/>
    <w:rsid w:val="00844F01"/>
    <w:rsid w:val="00845B45"/>
    <w:rsid w:val="00857EDA"/>
    <w:rsid w:val="008632DF"/>
    <w:rsid w:val="008708B9"/>
    <w:rsid w:val="0087145B"/>
    <w:rsid w:val="008747C2"/>
    <w:rsid w:val="00874B67"/>
    <w:rsid w:val="00876ED5"/>
    <w:rsid w:val="008854CB"/>
    <w:rsid w:val="00892C5E"/>
    <w:rsid w:val="0089584F"/>
    <w:rsid w:val="008A183B"/>
    <w:rsid w:val="008B4E13"/>
    <w:rsid w:val="008C0856"/>
    <w:rsid w:val="008C16CA"/>
    <w:rsid w:val="008C1BEE"/>
    <w:rsid w:val="008C274C"/>
    <w:rsid w:val="008C4938"/>
    <w:rsid w:val="008D0B4E"/>
    <w:rsid w:val="008D279D"/>
    <w:rsid w:val="008D4687"/>
    <w:rsid w:val="008D7330"/>
    <w:rsid w:val="008D79D0"/>
    <w:rsid w:val="0091199B"/>
    <w:rsid w:val="00916F7C"/>
    <w:rsid w:val="00921869"/>
    <w:rsid w:val="00927262"/>
    <w:rsid w:val="0092797E"/>
    <w:rsid w:val="0094055C"/>
    <w:rsid w:val="00941341"/>
    <w:rsid w:val="00943F09"/>
    <w:rsid w:val="00944E65"/>
    <w:rsid w:val="009465F1"/>
    <w:rsid w:val="00951A01"/>
    <w:rsid w:val="00957E3F"/>
    <w:rsid w:val="00960CA2"/>
    <w:rsid w:val="009628F2"/>
    <w:rsid w:val="00964E4D"/>
    <w:rsid w:val="00966D3E"/>
    <w:rsid w:val="00967935"/>
    <w:rsid w:val="00972747"/>
    <w:rsid w:val="00976C20"/>
    <w:rsid w:val="00984330"/>
    <w:rsid w:val="00985333"/>
    <w:rsid w:val="00993D53"/>
    <w:rsid w:val="00994022"/>
    <w:rsid w:val="0099511D"/>
    <w:rsid w:val="009958D2"/>
    <w:rsid w:val="00997CE5"/>
    <w:rsid w:val="009B04CA"/>
    <w:rsid w:val="009B2BCC"/>
    <w:rsid w:val="009B53B6"/>
    <w:rsid w:val="009C0A60"/>
    <w:rsid w:val="009C5DC7"/>
    <w:rsid w:val="009C6DD7"/>
    <w:rsid w:val="009D13E5"/>
    <w:rsid w:val="009D1428"/>
    <w:rsid w:val="009D70B9"/>
    <w:rsid w:val="009D7595"/>
    <w:rsid w:val="009E1213"/>
    <w:rsid w:val="009E217B"/>
    <w:rsid w:val="009F5CA8"/>
    <w:rsid w:val="00A002F8"/>
    <w:rsid w:val="00A003B1"/>
    <w:rsid w:val="00A03FBD"/>
    <w:rsid w:val="00A2594D"/>
    <w:rsid w:val="00A259DC"/>
    <w:rsid w:val="00A2607E"/>
    <w:rsid w:val="00A32AB8"/>
    <w:rsid w:val="00A3320F"/>
    <w:rsid w:val="00A428EC"/>
    <w:rsid w:val="00A43BE3"/>
    <w:rsid w:val="00A51E12"/>
    <w:rsid w:val="00A54977"/>
    <w:rsid w:val="00A6229E"/>
    <w:rsid w:val="00A646B6"/>
    <w:rsid w:val="00A646DA"/>
    <w:rsid w:val="00A65EBB"/>
    <w:rsid w:val="00A67A38"/>
    <w:rsid w:val="00A70858"/>
    <w:rsid w:val="00A72555"/>
    <w:rsid w:val="00A75032"/>
    <w:rsid w:val="00AA3D4C"/>
    <w:rsid w:val="00AB42D3"/>
    <w:rsid w:val="00AC2D33"/>
    <w:rsid w:val="00AC4086"/>
    <w:rsid w:val="00AC45C4"/>
    <w:rsid w:val="00AC6673"/>
    <w:rsid w:val="00AD2670"/>
    <w:rsid w:val="00AD5671"/>
    <w:rsid w:val="00AE170B"/>
    <w:rsid w:val="00AE4B76"/>
    <w:rsid w:val="00AE4DBB"/>
    <w:rsid w:val="00AF2FA1"/>
    <w:rsid w:val="00B05CC0"/>
    <w:rsid w:val="00B06F46"/>
    <w:rsid w:val="00B21F23"/>
    <w:rsid w:val="00B23C89"/>
    <w:rsid w:val="00B23FB1"/>
    <w:rsid w:val="00B2554E"/>
    <w:rsid w:val="00B25798"/>
    <w:rsid w:val="00B27320"/>
    <w:rsid w:val="00B37CAF"/>
    <w:rsid w:val="00B40BCB"/>
    <w:rsid w:val="00B4619B"/>
    <w:rsid w:val="00B55780"/>
    <w:rsid w:val="00B6188A"/>
    <w:rsid w:val="00B70395"/>
    <w:rsid w:val="00B71073"/>
    <w:rsid w:val="00B75D52"/>
    <w:rsid w:val="00B763EC"/>
    <w:rsid w:val="00B80172"/>
    <w:rsid w:val="00B83969"/>
    <w:rsid w:val="00BA2919"/>
    <w:rsid w:val="00BA3A60"/>
    <w:rsid w:val="00BB13B6"/>
    <w:rsid w:val="00BB1935"/>
    <w:rsid w:val="00BB2C3B"/>
    <w:rsid w:val="00BB401D"/>
    <w:rsid w:val="00BB6321"/>
    <w:rsid w:val="00BC342F"/>
    <w:rsid w:val="00BC7951"/>
    <w:rsid w:val="00BD2765"/>
    <w:rsid w:val="00BD5295"/>
    <w:rsid w:val="00BE0E3B"/>
    <w:rsid w:val="00BE15FB"/>
    <w:rsid w:val="00BE61D5"/>
    <w:rsid w:val="00BF1A15"/>
    <w:rsid w:val="00BF3516"/>
    <w:rsid w:val="00BF4221"/>
    <w:rsid w:val="00C05B90"/>
    <w:rsid w:val="00C06325"/>
    <w:rsid w:val="00C06621"/>
    <w:rsid w:val="00C1038E"/>
    <w:rsid w:val="00C10B0E"/>
    <w:rsid w:val="00C15B54"/>
    <w:rsid w:val="00C2015B"/>
    <w:rsid w:val="00C3233F"/>
    <w:rsid w:val="00C434A9"/>
    <w:rsid w:val="00C5503B"/>
    <w:rsid w:val="00C560F3"/>
    <w:rsid w:val="00C63082"/>
    <w:rsid w:val="00C72870"/>
    <w:rsid w:val="00C779CB"/>
    <w:rsid w:val="00C83C2E"/>
    <w:rsid w:val="00C8761A"/>
    <w:rsid w:val="00C87F3E"/>
    <w:rsid w:val="00C90BA1"/>
    <w:rsid w:val="00C92FE9"/>
    <w:rsid w:val="00C95721"/>
    <w:rsid w:val="00C9591D"/>
    <w:rsid w:val="00C97570"/>
    <w:rsid w:val="00CA28EC"/>
    <w:rsid w:val="00CA4AB8"/>
    <w:rsid w:val="00CB3A27"/>
    <w:rsid w:val="00CB5FA0"/>
    <w:rsid w:val="00CB7ECF"/>
    <w:rsid w:val="00CC00BF"/>
    <w:rsid w:val="00CC4433"/>
    <w:rsid w:val="00CC49C9"/>
    <w:rsid w:val="00CC5528"/>
    <w:rsid w:val="00CC56FC"/>
    <w:rsid w:val="00CD09AE"/>
    <w:rsid w:val="00CD3FD5"/>
    <w:rsid w:val="00CD73C8"/>
    <w:rsid w:val="00CE7145"/>
    <w:rsid w:val="00CF0005"/>
    <w:rsid w:val="00CF6520"/>
    <w:rsid w:val="00D0408A"/>
    <w:rsid w:val="00D065E0"/>
    <w:rsid w:val="00D147DF"/>
    <w:rsid w:val="00D178FF"/>
    <w:rsid w:val="00D25EF8"/>
    <w:rsid w:val="00D26180"/>
    <w:rsid w:val="00D31D34"/>
    <w:rsid w:val="00D423F5"/>
    <w:rsid w:val="00D438FE"/>
    <w:rsid w:val="00D45EF4"/>
    <w:rsid w:val="00D46ACD"/>
    <w:rsid w:val="00D47378"/>
    <w:rsid w:val="00D55316"/>
    <w:rsid w:val="00D60430"/>
    <w:rsid w:val="00D70716"/>
    <w:rsid w:val="00D713E2"/>
    <w:rsid w:val="00D77F36"/>
    <w:rsid w:val="00D80A0E"/>
    <w:rsid w:val="00D82169"/>
    <w:rsid w:val="00D84B78"/>
    <w:rsid w:val="00D84DAF"/>
    <w:rsid w:val="00D8708F"/>
    <w:rsid w:val="00D96906"/>
    <w:rsid w:val="00D96984"/>
    <w:rsid w:val="00DB1703"/>
    <w:rsid w:val="00DB7410"/>
    <w:rsid w:val="00DC3A02"/>
    <w:rsid w:val="00DC6543"/>
    <w:rsid w:val="00DD23B6"/>
    <w:rsid w:val="00DD5B49"/>
    <w:rsid w:val="00DF0B9B"/>
    <w:rsid w:val="00DF3FA9"/>
    <w:rsid w:val="00DF5285"/>
    <w:rsid w:val="00DF7502"/>
    <w:rsid w:val="00E20283"/>
    <w:rsid w:val="00E21D95"/>
    <w:rsid w:val="00E220C2"/>
    <w:rsid w:val="00E221E3"/>
    <w:rsid w:val="00E23573"/>
    <w:rsid w:val="00E23E1F"/>
    <w:rsid w:val="00E25E3D"/>
    <w:rsid w:val="00E269F8"/>
    <w:rsid w:val="00E27758"/>
    <w:rsid w:val="00E309FC"/>
    <w:rsid w:val="00E3546C"/>
    <w:rsid w:val="00E42129"/>
    <w:rsid w:val="00E55A67"/>
    <w:rsid w:val="00E5643F"/>
    <w:rsid w:val="00E60C02"/>
    <w:rsid w:val="00E62E33"/>
    <w:rsid w:val="00E64A7B"/>
    <w:rsid w:val="00E65FC8"/>
    <w:rsid w:val="00E6683F"/>
    <w:rsid w:val="00E86AF1"/>
    <w:rsid w:val="00E90C0D"/>
    <w:rsid w:val="00E920C1"/>
    <w:rsid w:val="00E93457"/>
    <w:rsid w:val="00E93B99"/>
    <w:rsid w:val="00EA305E"/>
    <w:rsid w:val="00EA525C"/>
    <w:rsid w:val="00EA7F91"/>
    <w:rsid w:val="00EB0148"/>
    <w:rsid w:val="00EB404F"/>
    <w:rsid w:val="00EC36FE"/>
    <w:rsid w:val="00ED0744"/>
    <w:rsid w:val="00ED5FD5"/>
    <w:rsid w:val="00EE6F6E"/>
    <w:rsid w:val="00EE7FFE"/>
    <w:rsid w:val="00EF1187"/>
    <w:rsid w:val="00EF24E5"/>
    <w:rsid w:val="00EF4E2F"/>
    <w:rsid w:val="00EF7D14"/>
    <w:rsid w:val="00F04B36"/>
    <w:rsid w:val="00F10C87"/>
    <w:rsid w:val="00F11E48"/>
    <w:rsid w:val="00F12D38"/>
    <w:rsid w:val="00F22230"/>
    <w:rsid w:val="00F31E35"/>
    <w:rsid w:val="00F34313"/>
    <w:rsid w:val="00F42FAD"/>
    <w:rsid w:val="00F43516"/>
    <w:rsid w:val="00F44469"/>
    <w:rsid w:val="00F45AAA"/>
    <w:rsid w:val="00F50986"/>
    <w:rsid w:val="00F562B1"/>
    <w:rsid w:val="00F56C8D"/>
    <w:rsid w:val="00F57596"/>
    <w:rsid w:val="00F709F9"/>
    <w:rsid w:val="00F83D8C"/>
    <w:rsid w:val="00F84A7A"/>
    <w:rsid w:val="00F84BD2"/>
    <w:rsid w:val="00FA03EF"/>
    <w:rsid w:val="00FA092E"/>
    <w:rsid w:val="00FA1DCF"/>
    <w:rsid w:val="00FA4200"/>
    <w:rsid w:val="00FA7F72"/>
    <w:rsid w:val="00FB4B23"/>
    <w:rsid w:val="00FC16E7"/>
    <w:rsid w:val="00FD0685"/>
    <w:rsid w:val="00FD0D73"/>
    <w:rsid w:val="00FD3000"/>
    <w:rsid w:val="00FE157B"/>
    <w:rsid w:val="00FE419A"/>
    <w:rsid w:val="00FF26E1"/>
    <w:rsid w:val="00FF5691"/>
    <w:rsid w:val="00FF6DB3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ECDB"/>
  <w15:chartTrackingRefBased/>
  <w15:docId w15:val="{4817F8A6-30C7-4EA4-B794-85D39E2E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1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B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B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B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B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B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B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B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B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B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B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B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33E"/>
  </w:style>
  <w:style w:type="paragraph" w:styleId="Stopka">
    <w:name w:val="footer"/>
    <w:basedOn w:val="Normalny"/>
    <w:link w:val="StopkaZnak"/>
    <w:uiPriority w:val="99"/>
    <w:unhideWhenUsed/>
    <w:rsid w:val="001F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33E"/>
  </w:style>
  <w:style w:type="character" w:styleId="Hipercze">
    <w:name w:val="Hyperlink"/>
    <w:basedOn w:val="Domylnaczcionkaakapitu"/>
    <w:uiPriority w:val="99"/>
    <w:unhideWhenUsed/>
    <w:rsid w:val="00A002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02F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64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4F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80C9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18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18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186D"/>
    <w:rPr>
      <w:vertAlign w:val="superscript"/>
    </w:rPr>
  </w:style>
  <w:style w:type="character" w:customStyle="1" w:styleId="apple-converted-space">
    <w:name w:val="apple-converted-space"/>
    <w:basedOn w:val="Domylnaczcionkaakapitu"/>
    <w:rsid w:val="008D0B4E"/>
  </w:style>
  <w:style w:type="character" w:customStyle="1" w:styleId="normaltextrun">
    <w:name w:val="normaltextrun"/>
    <w:basedOn w:val="Domylnaczcionkaakapitu"/>
    <w:rsid w:val="0082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jestat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790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Dałkowska</dc:creator>
  <cp:keywords/>
  <dc:description/>
  <cp:lastModifiedBy>Ostrowski, Piotr</cp:lastModifiedBy>
  <cp:revision>11</cp:revision>
  <dcterms:created xsi:type="dcterms:W3CDTF">2026-01-27T07:43:00Z</dcterms:created>
  <dcterms:modified xsi:type="dcterms:W3CDTF">2026-01-28T09:49:00Z</dcterms:modified>
</cp:coreProperties>
</file>