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DE615" w14:textId="77777777" w:rsidR="003B69A3" w:rsidRDefault="003B69A3"/>
    <w:p w14:paraId="53B9DF06" w14:textId="3CF171A9" w:rsidR="003B69A3" w:rsidRDefault="005D1C78" w:rsidP="005D1C78">
      <w:pPr>
        <w:jc w:val="right"/>
        <w:rPr>
          <w:rFonts w:ascii="Calibri" w:hAnsi="Calibri" w:cs="Calibri"/>
        </w:rPr>
      </w:pPr>
      <w:r>
        <w:rPr>
          <w:rFonts w:ascii="Calibri" w:hAnsi="Calibri" w:cs="Calibri"/>
        </w:rPr>
        <w:t xml:space="preserve">Łódź, </w:t>
      </w:r>
      <w:r w:rsidR="00BE49DE">
        <w:rPr>
          <w:rFonts w:ascii="Calibri" w:hAnsi="Calibri" w:cs="Calibri"/>
        </w:rPr>
        <w:t>27</w:t>
      </w:r>
      <w:r>
        <w:rPr>
          <w:rFonts w:ascii="Calibri" w:hAnsi="Calibri" w:cs="Calibri"/>
        </w:rPr>
        <w:t>.</w:t>
      </w:r>
      <w:r w:rsidR="00E32CB0">
        <w:rPr>
          <w:rFonts w:ascii="Calibri" w:hAnsi="Calibri" w:cs="Calibri"/>
        </w:rPr>
        <w:t>01</w:t>
      </w:r>
      <w:r>
        <w:rPr>
          <w:rFonts w:ascii="Calibri" w:hAnsi="Calibri" w:cs="Calibri"/>
        </w:rPr>
        <w:t>.202</w:t>
      </w:r>
      <w:r w:rsidR="00E32CB0">
        <w:rPr>
          <w:rFonts w:ascii="Calibri" w:hAnsi="Calibri" w:cs="Calibri"/>
        </w:rPr>
        <w:t>6</w:t>
      </w:r>
      <w:r>
        <w:rPr>
          <w:rFonts w:ascii="Calibri" w:hAnsi="Calibri" w:cs="Calibri"/>
        </w:rPr>
        <w:t xml:space="preserve"> r.</w:t>
      </w:r>
    </w:p>
    <w:p w14:paraId="0FC15861" w14:textId="77777777" w:rsidR="005D1C78" w:rsidRDefault="005D1C78" w:rsidP="003A7A3B">
      <w:pPr>
        <w:jc w:val="both"/>
        <w:rPr>
          <w:rFonts w:ascii="Calibri" w:hAnsi="Calibri" w:cs="Calibri"/>
        </w:rPr>
      </w:pPr>
    </w:p>
    <w:p w14:paraId="460B4783" w14:textId="3D8157A3" w:rsidR="005D1C78" w:rsidRDefault="00944CDA" w:rsidP="00D61749">
      <w:pPr>
        <w:jc w:val="center"/>
        <w:rPr>
          <w:rFonts w:ascii="Calibri" w:hAnsi="Calibri" w:cs="Calibri"/>
          <w:b/>
          <w:bCs/>
          <w:sz w:val="28"/>
          <w:szCs w:val="28"/>
        </w:rPr>
      </w:pPr>
      <w:r w:rsidRPr="00944CDA">
        <w:rPr>
          <w:rFonts w:ascii="Calibri" w:hAnsi="Calibri" w:cs="Calibri"/>
          <w:b/>
          <w:bCs/>
          <w:sz w:val="28"/>
          <w:szCs w:val="28"/>
        </w:rPr>
        <w:t>Gdzie koncentruje się popyt na nieruchomości luksusowe? Kluczowe trendy lokalizacyjne</w:t>
      </w:r>
    </w:p>
    <w:p w14:paraId="2E831782" w14:textId="77777777" w:rsidR="00BF4CDA" w:rsidRPr="00D61749" w:rsidRDefault="00BF4CDA" w:rsidP="00BF4CDA">
      <w:pPr>
        <w:rPr>
          <w:rFonts w:ascii="Calibri" w:hAnsi="Calibri" w:cs="Calibri"/>
          <w:b/>
          <w:bCs/>
          <w:sz w:val="28"/>
          <w:szCs w:val="28"/>
        </w:rPr>
      </w:pPr>
    </w:p>
    <w:p w14:paraId="2729C992" w14:textId="6F1FAC81" w:rsidR="00E87643" w:rsidRDefault="00E87643" w:rsidP="003A7A3B">
      <w:pPr>
        <w:jc w:val="both"/>
        <w:rPr>
          <w:rFonts w:ascii="Calibri" w:hAnsi="Calibri" w:cs="Calibri"/>
          <w:b/>
          <w:bCs/>
        </w:rPr>
      </w:pPr>
      <w:r w:rsidRPr="00E87643">
        <w:rPr>
          <w:rFonts w:ascii="Calibri" w:hAnsi="Calibri" w:cs="Calibri"/>
          <w:b/>
          <w:bCs/>
        </w:rPr>
        <w:t>Luksusowa lokalizacja to dziś coś więcej niż prestiżowy adres w centrum dużego miasta. Klienci z segmentu nieruchomości premium coraz częściej poszukują miejsc z pierwiastkiem unikalności, które nadają inwestycji wyjątkowy charakter – może to być kontekst historyczny, bliskość natury lub spektakularne widoki, szczególnie cenione w przypadku second homes. Coraz wyraźniej widać, że to właśnie „jakość miejsca”, a nie sam adres, decyduje dziś o atrakcyjności inwestycji. Oto kluczowe aspekty, które definiują atrakcyjność lokalizacji luksusowych projektów mieszkaniowych.</w:t>
      </w:r>
    </w:p>
    <w:p w14:paraId="3972D9D5" w14:textId="3F96DE56" w:rsidR="00181DF5" w:rsidRDefault="00A662D7" w:rsidP="003A7A3B">
      <w:pPr>
        <w:jc w:val="both"/>
        <w:rPr>
          <w:rFonts w:ascii="Calibri" w:hAnsi="Calibri" w:cs="Calibri"/>
          <w:b/>
          <w:bCs/>
        </w:rPr>
      </w:pPr>
      <w:r w:rsidRPr="00A662D7">
        <w:rPr>
          <w:rFonts w:ascii="Calibri" w:hAnsi="Calibri" w:cs="Calibri"/>
          <w:b/>
          <w:bCs/>
        </w:rPr>
        <w:t>Topowe metropolie w centrum zainteresowania</w:t>
      </w:r>
    </w:p>
    <w:p w14:paraId="59DB151A" w14:textId="7D631CA0" w:rsidR="00DD126F" w:rsidRDefault="00D304A0" w:rsidP="003A7A3B">
      <w:pPr>
        <w:jc w:val="both"/>
        <w:rPr>
          <w:rFonts w:ascii="Calibri" w:hAnsi="Calibri" w:cs="Calibri"/>
        </w:rPr>
      </w:pPr>
      <w:r w:rsidRPr="00D304A0">
        <w:rPr>
          <w:rFonts w:ascii="Calibri" w:hAnsi="Calibri" w:cs="Calibri"/>
        </w:rPr>
        <w:t>Największe polskie miasta niezmiennie dominują na rynku nieruchomości premium. To właśnie metropolie przyciągają większość zamożnych nabywców – aż 85 proc. ofert z tego segmentu znajduje się w pięciu ośrodkach: Warszawie, Gdańsku, Gdyni, Krakowie i Wrocławiu</w:t>
      </w:r>
      <w:r w:rsidR="00AD3721">
        <w:rPr>
          <w:rStyle w:val="Odwoanieprzypisudolnego"/>
          <w:rFonts w:ascii="Calibri" w:hAnsi="Calibri" w:cs="Calibri"/>
        </w:rPr>
        <w:footnoteReference w:id="2"/>
      </w:r>
      <w:r>
        <w:rPr>
          <w:rFonts w:ascii="Calibri" w:hAnsi="Calibri" w:cs="Calibri"/>
        </w:rPr>
        <w:t>.</w:t>
      </w:r>
      <w:r w:rsidR="00173375">
        <w:rPr>
          <w:rFonts w:ascii="Calibri" w:hAnsi="Calibri" w:cs="Calibri"/>
        </w:rPr>
        <w:t xml:space="preserve"> </w:t>
      </w:r>
      <w:r w:rsidR="00917CA8" w:rsidRPr="00917CA8">
        <w:rPr>
          <w:rFonts w:ascii="Calibri" w:hAnsi="Calibri" w:cs="Calibri"/>
        </w:rPr>
        <w:t xml:space="preserve">Pozostała część ofert rozproszona jest pomiędzy inne kluczowe ośrodki miejskie, głównie miasta wojewódzkie, w tym również takie, w których dotychczas segment luksusowy nie był w praktyce obecny </w:t>
      </w:r>
      <w:r w:rsidR="00917CA8">
        <w:rPr>
          <w:rFonts w:ascii="Calibri" w:hAnsi="Calibri" w:cs="Calibri"/>
        </w:rPr>
        <w:t>–</w:t>
      </w:r>
      <w:r w:rsidR="00917CA8" w:rsidRPr="00917CA8">
        <w:rPr>
          <w:rFonts w:ascii="Calibri" w:hAnsi="Calibri" w:cs="Calibri"/>
        </w:rPr>
        <w:t xml:space="preserve"> jak Łódź.</w:t>
      </w:r>
    </w:p>
    <w:p w14:paraId="1E24AE3C" w14:textId="4425F8FE" w:rsidR="00A32687" w:rsidRDefault="00D304A0" w:rsidP="003A7A3B">
      <w:pPr>
        <w:jc w:val="both"/>
        <w:rPr>
          <w:rFonts w:ascii="Calibri" w:hAnsi="Calibri" w:cs="Calibri"/>
        </w:rPr>
      </w:pPr>
      <w:r w:rsidRPr="00D304A0">
        <w:rPr>
          <w:rFonts w:ascii="Calibri" w:hAnsi="Calibri" w:cs="Calibri"/>
        </w:rPr>
        <w:t>Popularność prestiżowych adresów w centrach miast jest naturalną konsekwencją ich roli gospodarczej, społecznej i kulturowej. To tutaj koncentruje się biznes oraz siedziby międzynarodowych firm, ale również najważniejsze instytucje kultury, galerie sztuki, teatry, restauracje i wydarzenia, które definiują miejski styl życia. Śródmiejskie lokalizacje są szczególnie atrakcyjne dla zagranicznych inwestorów i ekspatów, co potwierdzają dane MSWiA. W 2024 roku cudzoziemcy kupili w Polsce ponad 17 tysięcy mieszkań i lokali, najwięcej w Warszawie</w:t>
      </w:r>
      <w:r w:rsidR="00F00E9F">
        <w:rPr>
          <w:rStyle w:val="Odwoanieprzypisudolnego"/>
          <w:rFonts w:ascii="Calibri" w:hAnsi="Calibri" w:cs="Calibri"/>
        </w:rPr>
        <w:footnoteReference w:id="3"/>
      </w:r>
      <w:r w:rsidR="00A32687" w:rsidRPr="00A32687">
        <w:rPr>
          <w:rFonts w:ascii="Calibri" w:hAnsi="Calibri" w:cs="Calibri"/>
        </w:rPr>
        <w:t>.</w:t>
      </w:r>
    </w:p>
    <w:p w14:paraId="2AF742DB" w14:textId="44937B48" w:rsidR="00BB22B8" w:rsidRDefault="00044E0E" w:rsidP="003A7A3B">
      <w:pPr>
        <w:jc w:val="both"/>
        <w:rPr>
          <w:rFonts w:ascii="Calibri" w:hAnsi="Calibri" w:cs="Calibri"/>
        </w:rPr>
      </w:pPr>
      <w:r w:rsidRPr="00044E0E">
        <w:rPr>
          <w:rFonts w:ascii="Calibri" w:hAnsi="Calibri" w:cs="Calibri"/>
        </w:rPr>
        <w:t xml:space="preserve">– </w:t>
      </w:r>
      <w:r w:rsidR="006638AA" w:rsidRPr="006638AA">
        <w:rPr>
          <w:rFonts w:ascii="Calibri" w:hAnsi="Calibri" w:cs="Calibri"/>
          <w:i/>
          <w:iCs/>
        </w:rPr>
        <w:t>Dobrze skomunikowany adres w centrum dużego miasta pozostaje ważnym punktem wyjścia, ale dziś zdecydowanie nie jest już gwarancją sukcesu projektu premium. Klienci z najwyższego segmentu rynku, inspirowani globalnym trendem quiet luxury, oczekują znacznie więcej niż tylko prestiżowej lokalizacji na mapie. Szukają równowagi pomiędzy dostępem do miejskich udogodnień a poczuciem kameralności, prywatności i kontaktu z naturą. Standardem stają się dziś rozbudowane części wspólne – strefy wellness z basenem, usługi concierge czy tereny rekreacyjne dostępne na wyciągnięcie ręki. To sprawia, że sama obecność w śródmieściu nie przesądza już o sukcesie inwestycji. Deweloperzy muszą tworzyć projekty o wyraźnej tożsamości i sięgać po lokalizacje, które oferują coś więcej niż tylko centralny adres</w:t>
      </w:r>
      <w:r w:rsidR="00813567">
        <w:rPr>
          <w:rFonts w:ascii="Calibri" w:hAnsi="Calibri" w:cs="Calibri"/>
          <w:i/>
          <w:iCs/>
        </w:rPr>
        <w:t xml:space="preserve"> </w:t>
      </w:r>
      <w:r w:rsidRPr="00E24AC6">
        <w:rPr>
          <w:rFonts w:ascii="Calibri" w:hAnsi="Calibri" w:cs="Calibri"/>
        </w:rPr>
        <w:t>–</w:t>
      </w:r>
      <w:r w:rsidR="00BB22B8" w:rsidRPr="00E24AC6">
        <w:rPr>
          <w:rFonts w:ascii="Calibri" w:hAnsi="Calibri" w:cs="Calibri"/>
        </w:rPr>
        <w:t xml:space="preserve"> mówi </w:t>
      </w:r>
      <w:r w:rsidR="00BB22B8" w:rsidRPr="00E24AC6">
        <w:rPr>
          <w:rFonts w:ascii="Calibri" w:hAnsi="Calibri" w:cs="Calibri"/>
          <w:b/>
          <w:bCs/>
        </w:rPr>
        <w:t xml:space="preserve">Fryderyk Bojdo, </w:t>
      </w:r>
      <w:r w:rsidR="005B3E9D" w:rsidRPr="00E24AC6">
        <w:rPr>
          <w:rFonts w:ascii="Calibri" w:hAnsi="Calibri" w:cs="Calibri"/>
          <w:b/>
          <w:bCs/>
        </w:rPr>
        <w:t>członek zarządu T17 sp. z o.o</w:t>
      </w:r>
      <w:r w:rsidR="00E24AC6" w:rsidRPr="00E24AC6">
        <w:rPr>
          <w:rFonts w:ascii="Calibri" w:hAnsi="Calibri" w:cs="Calibri"/>
          <w:b/>
          <w:bCs/>
        </w:rPr>
        <w:t>.</w:t>
      </w:r>
    </w:p>
    <w:p w14:paraId="6EF346B6" w14:textId="4443E7C0" w:rsidR="00E764D3" w:rsidRPr="00BC5B0A" w:rsidRDefault="00BC5B0A" w:rsidP="003A7A3B">
      <w:pPr>
        <w:jc w:val="both"/>
        <w:rPr>
          <w:rFonts w:ascii="Calibri" w:hAnsi="Calibri" w:cs="Calibri"/>
          <w:b/>
          <w:bCs/>
        </w:rPr>
      </w:pPr>
      <w:r w:rsidRPr="00BC5B0A">
        <w:rPr>
          <w:rFonts w:ascii="Calibri" w:hAnsi="Calibri" w:cs="Calibri"/>
          <w:b/>
          <w:bCs/>
        </w:rPr>
        <w:t>Lokalne dziedzictwo jako wartość luksusu</w:t>
      </w:r>
    </w:p>
    <w:p w14:paraId="4AB0DDE2" w14:textId="64E15068" w:rsidR="00E21975" w:rsidRDefault="00432D97" w:rsidP="00EB4D0B">
      <w:pPr>
        <w:jc w:val="both"/>
        <w:rPr>
          <w:rFonts w:ascii="Calibri" w:hAnsi="Calibri" w:cs="Calibri"/>
        </w:rPr>
      </w:pPr>
      <w:r w:rsidRPr="00432D97">
        <w:rPr>
          <w:rFonts w:ascii="Calibri" w:hAnsi="Calibri" w:cs="Calibri"/>
        </w:rPr>
        <w:lastRenderedPageBreak/>
        <w:t>W segmencie nieruchomości premium coraz większe znaczenie mają lokalizacje osadzone w historycznym i kulturowym kontekście. Chodzi o miejsca charakterystyczne dla danego miasta – zabytkowe dzielnice, dawne tereny poprzemysłowe, rewitalizowane fragmenty tkanki miejskiej, które niosą ze sobą autentyczną historię i tożsamość. Dla zamożnych nabywców lokalne dziedzictwo to dziś realna wartość, której nie da się powielić w dowolnej części miasta.</w:t>
      </w:r>
    </w:p>
    <w:p w14:paraId="5FFD5717" w14:textId="556D3132" w:rsidR="00E764D3" w:rsidRDefault="00EB4D0B" w:rsidP="00EB4D0B">
      <w:pPr>
        <w:jc w:val="both"/>
        <w:rPr>
          <w:rFonts w:ascii="Calibri" w:hAnsi="Calibri" w:cs="Calibri"/>
        </w:rPr>
      </w:pPr>
      <w:r w:rsidRPr="00EB4D0B">
        <w:rPr>
          <w:rFonts w:ascii="Calibri" w:hAnsi="Calibri" w:cs="Calibri"/>
        </w:rPr>
        <w:t xml:space="preserve">– </w:t>
      </w:r>
      <w:r w:rsidR="007B6E58" w:rsidRPr="007B6E58">
        <w:rPr>
          <w:rFonts w:ascii="Calibri" w:hAnsi="Calibri" w:cs="Calibri"/>
          <w:i/>
          <w:iCs/>
        </w:rPr>
        <w:t xml:space="preserve">Klienci premium coraz częściej poszukują adresów z duszą, czyli miejsc zakorzenionych w historii, rozpoznawalnych i unikalnych. Dlatego przy planowaniu nowych inwestycji analizujemy nie tylko potencjał działki, ale jej kontekst urbanistyczny i znaczenie dla miasta. Na polskim rynku widać to wyraźnie na przykładzie projektów takich jak NOHO ONE na pofabrycznych terenach warszawskiej Woli, Rozbrat 44 na Powiślu czy T17 na łódzkim Księżym Młynie. Z mojego doświadczenia wynika, że nabywcy doceniają nie tylko sąsiedztwo zabytkowej dzielnicy, ale także realne działania rewitalizacyjne w otoczeniu inwestycji – modernizację parku, odsłonięcie rzeki Lamus </w:t>
      </w:r>
      <w:r w:rsidR="007B6E58">
        <w:rPr>
          <w:rFonts w:ascii="Calibri" w:hAnsi="Calibri" w:cs="Calibri"/>
          <w:i/>
          <w:iCs/>
        </w:rPr>
        <w:t>czy też</w:t>
      </w:r>
      <w:r w:rsidR="007B6E58" w:rsidRPr="007B6E58">
        <w:rPr>
          <w:rFonts w:ascii="Calibri" w:hAnsi="Calibri" w:cs="Calibri"/>
          <w:i/>
          <w:iCs/>
        </w:rPr>
        <w:t xml:space="preserve"> stworzenie publicznego skweru. To pokazuje, że luksusowa lokalizacja nie polega wyłącznie na adresie, ale na jakości przestrzeni wokół i autentycznym charakterze miejsca</w:t>
      </w:r>
      <w:r w:rsidR="00DA5D32" w:rsidRPr="00DA5D32">
        <w:rPr>
          <w:rFonts w:ascii="Calibri" w:hAnsi="Calibri" w:cs="Calibri"/>
          <w:i/>
          <w:iCs/>
        </w:rPr>
        <w:t xml:space="preserve"> </w:t>
      </w:r>
      <w:r w:rsidRPr="00EB4D0B">
        <w:rPr>
          <w:rFonts w:ascii="Calibri" w:hAnsi="Calibri" w:cs="Calibri"/>
        </w:rPr>
        <w:t xml:space="preserve">– </w:t>
      </w:r>
      <w:r w:rsidR="008A61E3">
        <w:rPr>
          <w:rFonts w:ascii="Calibri" w:hAnsi="Calibri" w:cs="Calibri"/>
        </w:rPr>
        <w:t>wyjaśnia</w:t>
      </w:r>
      <w:r w:rsidRPr="00EB4D0B">
        <w:rPr>
          <w:rFonts w:ascii="Calibri" w:hAnsi="Calibri" w:cs="Calibri"/>
        </w:rPr>
        <w:t xml:space="preserve"> </w:t>
      </w:r>
      <w:r w:rsidR="008A61E3">
        <w:rPr>
          <w:rFonts w:ascii="Calibri" w:hAnsi="Calibri" w:cs="Calibri"/>
          <w:b/>
          <w:bCs/>
        </w:rPr>
        <w:t>Fryderyk Bojdo</w:t>
      </w:r>
      <w:r w:rsidR="003B5077">
        <w:rPr>
          <w:rFonts w:ascii="Calibri" w:hAnsi="Calibri" w:cs="Calibri"/>
        </w:rPr>
        <w:t>.</w:t>
      </w:r>
    </w:p>
    <w:p w14:paraId="39B1A383" w14:textId="6D95580B" w:rsidR="008E57D0" w:rsidRPr="008E57D0" w:rsidRDefault="008E57D0" w:rsidP="008E57D0">
      <w:pPr>
        <w:jc w:val="both"/>
        <w:rPr>
          <w:rFonts w:ascii="Calibri" w:hAnsi="Calibri" w:cs="Calibri"/>
          <w:b/>
          <w:bCs/>
        </w:rPr>
      </w:pPr>
      <w:r w:rsidRPr="008E57D0">
        <w:rPr>
          <w:rFonts w:ascii="Calibri" w:hAnsi="Calibri" w:cs="Calibri"/>
          <w:b/>
          <w:bCs/>
        </w:rPr>
        <w:t xml:space="preserve">Atrakcyjność second homes </w:t>
      </w:r>
      <w:r>
        <w:rPr>
          <w:rFonts w:ascii="Calibri" w:hAnsi="Calibri" w:cs="Calibri"/>
          <w:b/>
          <w:bCs/>
        </w:rPr>
        <w:t>i kurortów</w:t>
      </w:r>
    </w:p>
    <w:p w14:paraId="76131317" w14:textId="77777777" w:rsidR="00175F4E" w:rsidRPr="00175F4E" w:rsidRDefault="00175F4E" w:rsidP="00175F4E">
      <w:pPr>
        <w:jc w:val="both"/>
        <w:rPr>
          <w:rFonts w:ascii="Calibri" w:hAnsi="Calibri" w:cs="Calibri"/>
        </w:rPr>
      </w:pPr>
      <w:r w:rsidRPr="00175F4E">
        <w:rPr>
          <w:rFonts w:ascii="Calibri" w:hAnsi="Calibri" w:cs="Calibri"/>
        </w:rPr>
        <w:t>Luksusowe inwestycje w kurortach nie tracą na atrakcyjności. Apartamenty nad morzem, domy w górskim otoczeniu czy rezydencje położone wśród jezior coraz częściej pełnią funkcję second homes – prywatnych miejsc wypoczynku o wysokim standardzie, z rozbudowaną ofertą wellness i zapleczem gwarantującym najwyższy komfort zamieszkiwania.</w:t>
      </w:r>
    </w:p>
    <w:p w14:paraId="6E604D89" w14:textId="219E71C3" w:rsidR="008E57D0" w:rsidRPr="008E57D0" w:rsidRDefault="00175F4E" w:rsidP="00175F4E">
      <w:pPr>
        <w:jc w:val="both"/>
        <w:rPr>
          <w:rFonts w:ascii="Calibri" w:hAnsi="Calibri" w:cs="Calibri"/>
        </w:rPr>
      </w:pPr>
      <w:r w:rsidRPr="00175F4E">
        <w:rPr>
          <w:rFonts w:ascii="Calibri" w:hAnsi="Calibri" w:cs="Calibri"/>
        </w:rPr>
        <w:t xml:space="preserve">Tego typu nieruchomości łączą dziś funkcję rekreacyjną z inwestycyjną. Dla właścicieli są przestrzenią do sezonowego pobytu, a jednocześnie bezpieczną lokatą kapitału z potencjałem generowania dochodu z najmu. Rekordowe ceny i rosnące zainteresowanie potwierdzają, że kurorty umacniają swoją pozycję w segmencie premium. Jak wynika z </w:t>
      </w:r>
      <w:r w:rsidR="00B24F18">
        <w:rPr>
          <w:rFonts w:ascii="Calibri" w:hAnsi="Calibri" w:cs="Calibri"/>
        </w:rPr>
        <w:t>raportu ThinkCO</w:t>
      </w:r>
      <w:r w:rsidRPr="00175F4E">
        <w:rPr>
          <w:rFonts w:ascii="Calibri" w:hAnsi="Calibri" w:cs="Calibri"/>
        </w:rPr>
        <w:t>, rynek second homes dynamicznie rozwinął się w czasie pandemii i nadal pozostaje silnym trendem – szczególnie na Mazurach, w górach oraz nad Bałtykiem</w:t>
      </w:r>
      <w:r w:rsidR="00B24F18">
        <w:rPr>
          <w:rStyle w:val="Odwoanieprzypisudolnego"/>
          <w:rFonts w:ascii="Calibri" w:hAnsi="Calibri" w:cs="Calibri"/>
        </w:rPr>
        <w:footnoteReference w:id="4"/>
      </w:r>
      <w:r w:rsidRPr="00175F4E">
        <w:rPr>
          <w:rFonts w:ascii="Calibri" w:hAnsi="Calibri" w:cs="Calibri"/>
        </w:rPr>
        <w:t>.</w:t>
      </w:r>
    </w:p>
    <w:p w14:paraId="211CD90A" w14:textId="77777777" w:rsidR="008E57D0" w:rsidRPr="005602CF" w:rsidRDefault="008E57D0" w:rsidP="008E57D0">
      <w:pPr>
        <w:jc w:val="both"/>
        <w:rPr>
          <w:rFonts w:ascii="Calibri" w:hAnsi="Calibri" w:cs="Calibri"/>
          <w:b/>
          <w:bCs/>
        </w:rPr>
      </w:pPr>
      <w:r w:rsidRPr="005602CF">
        <w:rPr>
          <w:rFonts w:ascii="Calibri" w:hAnsi="Calibri" w:cs="Calibri"/>
          <w:b/>
          <w:bCs/>
        </w:rPr>
        <w:t>Perspektywy dla rynku premium</w:t>
      </w:r>
    </w:p>
    <w:p w14:paraId="472EE5D0" w14:textId="1420B512" w:rsidR="002321B5" w:rsidRPr="002321B5" w:rsidRDefault="00BA29A5" w:rsidP="002321B5">
      <w:pPr>
        <w:jc w:val="both"/>
        <w:rPr>
          <w:rFonts w:ascii="Calibri" w:hAnsi="Calibri" w:cs="Calibri"/>
        </w:rPr>
      </w:pPr>
      <w:r w:rsidRPr="00BA29A5">
        <w:rPr>
          <w:rFonts w:ascii="Calibri" w:hAnsi="Calibri" w:cs="Calibri"/>
        </w:rPr>
        <w:t>Polski rynek nieruchomości premium coraz wyraźniej wpisuje się w globalne trendy i skutecznie odpowiada na rosnące oczekiwania klientów. Z danych KPMG wynika, że wartość rynku dóbr luksusowych w Polsce w 2026 roku przekroczy 60 mld zł, a nieruchomości staną się jedną z kluczowych kategorii tego segmentu</w:t>
      </w:r>
      <w:r w:rsidR="009879BA">
        <w:rPr>
          <w:rStyle w:val="Odwoanieprzypisudolnego"/>
          <w:rFonts w:ascii="Calibri" w:hAnsi="Calibri" w:cs="Calibri"/>
        </w:rPr>
        <w:footnoteReference w:id="5"/>
      </w:r>
      <w:r w:rsidRPr="00BA29A5">
        <w:rPr>
          <w:rFonts w:ascii="Calibri" w:hAnsi="Calibri" w:cs="Calibri"/>
        </w:rPr>
        <w:t>. To sygnał, że segment premium dojrzewa i przestaje być niszą, a inwestycje z najwyższej półki coraz częściej budują trwały i stabilny filar rynku mieszkaniowego.</w:t>
      </w:r>
    </w:p>
    <w:sectPr w:rsidR="002321B5" w:rsidRPr="002321B5" w:rsidSect="00813567">
      <w:headerReference w:type="default" r:id="rId7"/>
      <w:footerReference w:type="default" r:id="rId8"/>
      <w:pgSz w:w="11906" w:h="16838"/>
      <w:pgMar w:top="226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B5706" w14:textId="77777777" w:rsidR="008812AA" w:rsidRDefault="008812AA" w:rsidP="005A6417">
      <w:pPr>
        <w:spacing w:after="0" w:line="240" w:lineRule="auto"/>
      </w:pPr>
      <w:r>
        <w:separator/>
      </w:r>
    </w:p>
  </w:endnote>
  <w:endnote w:type="continuationSeparator" w:id="0">
    <w:p w14:paraId="316A19F9" w14:textId="77777777" w:rsidR="008812AA" w:rsidRDefault="008812AA" w:rsidP="005A6417">
      <w:pPr>
        <w:spacing w:after="0" w:line="240" w:lineRule="auto"/>
      </w:pPr>
      <w:r>
        <w:continuationSeparator/>
      </w:r>
    </w:p>
  </w:endnote>
  <w:endnote w:type="continuationNotice" w:id="1">
    <w:p w14:paraId="31E66B1C" w14:textId="77777777" w:rsidR="008812AA" w:rsidRDefault="00881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9D9C5" w14:textId="77777777" w:rsidR="003B69A3" w:rsidRPr="003B69A3" w:rsidRDefault="003B69A3" w:rsidP="003B69A3">
    <w:pPr>
      <w:pStyle w:val="paragraph"/>
      <w:spacing w:before="0" w:beforeAutospacing="0" w:after="0" w:afterAutospacing="0"/>
      <w:jc w:val="both"/>
      <w:textAlignment w:val="baseline"/>
      <w:rPr>
        <w:rFonts w:ascii="Calibri" w:hAnsi="Calibri" w:cs="Calibri"/>
        <w:sz w:val="18"/>
        <w:szCs w:val="18"/>
      </w:rPr>
    </w:pPr>
    <w:r w:rsidRPr="003B69A3">
      <w:rPr>
        <w:rStyle w:val="normaltextrun"/>
        <w:rFonts w:ascii="Calibri" w:eastAsiaTheme="majorEastAsia" w:hAnsi="Calibri" w:cs="Calibri"/>
        <w:b/>
        <w:bCs/>
        <w:sz w:val="18"/>
        <w:szCs w:val="18"/>
      </w:rPr>
      <w:t>Kontakt dla mediów:</w:t>
    </w:r>
    <w:r w:rsidRPr="003B69A3">
      <w:rPr>
        <w:rStyle w:val="eop"/>
        <w:rFonts w:ascii="Calibri" w:eastAsiaTheme="majorEastAsia" w:hAnsi="Calibri" w:cs="Calibri"/>
        <w:sz w:val="18"/>
        <w:szCs w:val="18"/>
      </w:rPr>
      <w:t> </w:t>
    </w:r>
  </w:p>
  <w:p w14:paraId="4A9443EA" w14:textId="77777777" w:rsidR="003B69A3" w:rsidRPr="003B69A3" w:rsidRDefault="003B69A3" w:rsidP="003B69A3">
    <w:pPr>
      <w:pStyle w:val="paragraph"/>
      <w:spacing w:before="0" w:beforeAutospacing="0" w:after="0" w:afterAutospacing="0"/>
      <w:textAlignment w:val="baseline"/>
      <w:rPr>
        <w:rFonts w:ascii="Calibri" w:hAnsi="Calibri" w:cs="Calibri"/>
        <w:sz w:val="18"/>
        <w:szCs w:val="18"/>
      </w:rPr>
    </w:pPr>
    <w:r w:rsidRPr="003B69A3">
      <w:rPr>
        <w:rStyle w:val="normaltextrun"/>
        <w:rFonts w:ascii="Calibri" w:eastAsiaTheme="majorEastAsia" w:hAnsi="Calibri" w:cs="Calibri"/>
        <w:sz w:val="18"/>
        <w:szCs w:val="18"/>
      </w:rPr>
      <w:t>Piotr Ostrowski</w:t>
    </w:r>
    <w:r w:rsidRPr="003B69A3">
      <w:rPr>
        <w:rStyle w:val="eop"/>
        <w:rFonts w:ascii="Calibri" w:eastAsiaTheme="majorEastAsia" w:hAnsi="Calibri" w:cs="Calibri"/>
        <w:sz w:val="18"/>
        <w:szCs w:val="18"/>
      </w:rPr>
      <w:t> </w:t>
    </w:r>
  </w:p>
  <w:p w14:paraId="34FE50D5" w14:textId="77777777" w:rsidR="003B69A3" w:rsidRPr="003B69A3" w:rsidRDefault="00BE49DE" w:rsidP="003B69A3">
    <w:pPr>
      <w:pStyle w:val="paragraph"/>
      <w:spacing w:before="0" w:beforeAutospacing="0" w:after="0" w:afterAutospacing="0"/>
      <w:textAlignment w:val="baseline"/>
      <w:rPr>
        <w:rFonts w:ascii="Calibri" w:hAnsi="Calibri" w:cs="Calibri"/>
        <w:sz w:val="18"/>
        <w:szCs w:val="18"/>
      </w:rPr>
    </w:pPr>
    <w:hyperlink r:id="rId1" w:tgtFrame="_blank" w:history="1">
      <w:r w:rsidR="003B69A3" w:rsidRPr="003B69A3">
        <w:rPr>
          <w:rStyle w:val="normaltextrun"/>
          <w:rFonts w:ascii="Calibri" w:eastAsiaTheme="majorEastAsia" w:hAnsi="Calibri" w:cs="Calibri"/>
          <w:color w:val="0563C1"/>
          <w:sz w:val="18"/>
          <w:szCs w:val="18"/>
          <w:u w:val="single"/>
        </w:rPr>
        <w:t>piotr.ostrowski@38pr.pl</w:t>
      </w:r>
    </w:hyperlink>
    <w:r w:rsidR="003B69A3" w:rsidRPr="003B69A3">
      <w:rPr>
        <w:rStyle w:val="eop"/>
        <w:rFonts w:ascii="Calibri" w:eastAsiaTheme="majorEastAsia" w:hAnsi="Calibri" w:cs="Calibri"/>
        <w:sz w:val="18"/>
        <w:szCs w:val="18"/>
      </w:rPr>
      <w:t> </w:t>
    </w:r>
  </w:p>
  <w:p w14:paraId="7E36637D" w14:textId="2E59A6CD" w:rsidR="0056625B" w:rsidRPr="003B69A3" w:rsidRDefault="003B69A3" w:rsidP="003B69A3">
    <w:pPr>
      <w:pStyle w:val="paragraph"/>
      <w:spacing w:before="0" w:beforeAutospacing="0" w:after="0" w:afterAutospacing="0"/>
      <w:textAlignment w:val="baseline"/>
      <w:rPr>
        <w:rFonts w:ascii="Calibri" w:hAnsi="Calibri" w:cs="Calibri"/>
      </w:rPr>
    </w:pPr>
    <w:r w:rsidRPr="003B69A3">
      <w:rPr>
        <w:rStyle w:val="normaltextrun"/>
        <w:rFonts w:ascii="Calibri" w:eastAsiaTheme="majorEastAsia" w:hAnsi="Calibri" w:cs="Calibri"/>
        <w:sz w:val="18"/>
        <w:szCs w:val="18"/>
      </w:rPr>
      <w:t>tel. +48 502 457 511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C715C" w14:textId="77777777" w:rsidR="008812AA" w:rsidRDefault="008812AA" w:rsidP="005A6417">
      <w:pPr>
        <w:spacing w:after="0" w:line="240" w:lineRule="auto"/>
      </w:pPr>
      <w:r>
        <w:separator/>
      </w:r>
    </w:p>
  </w:footnote>
  <w:footnote w:type="continuationSeparator" w:id="0">
    <w:p w14:paraId="55844A67" w14:textId="77777777" w:rsidR="008812AA" w:rsidRDefault="008812AA" w:rsidP="005A6417">
      <w:pPr>
        <w:spacing w:after="0" w:line="240" w:lineRule="auto"/>
      </w:pPr>
      <w:r>
        <w:continuationSeparator/>
      </w:r>
    </w:p>
  </w:footnote>
  <w:footnote w:type="continuationNotice" w:id="1">
    <w:p w14:paraId="2E0973A5" w14:textId="77777777" w:rsidR="008812AA" w:rsidRDefault="008812AA">
      <w:pPr>
        <w:spacing w:after="0" w:line="240" w:lineRule="auto"/>
      </w:pPr>
    </w:p>
  </w:footnote>
  <w:footnote w:id="2">
    <w:p w14:paraId="0380DB65" w14:textId="12474509" w:rsidR="00AD3721" w:rsidRDefault="00AD3721" w:rsidP="00390B00">
      <w:pPr>
        <w:pStyle w:val="Tekstprzypisudolnego"/>
      </w:pPr>
      <w:r>
        <w:rPr>
          <w:rStyle w:val="Odwoanieprzypisudolnego"/>
        </w:rPr>
        <w:footnoteRef/>
      </w:r>
      <w:r>
        <w:t xml:space="preserve"> </w:t>
      </w:r>
      <w:r w:rsidR="00390B00">
        <w:t>Raport pt. "Z wyższej półki. Mieszkania o podwyższonym  standardzie i luksusowe", ThinkCo, 2024</w:t>
      </w:r>
    </w:p>
  </w:footnote>
  <w:footnote w:id="3">
    <w:p w14:paraId="25FCE727" w14:textId="5BA5990C" w:rsidR="00F00E9F" w:rsidRDefault="00F00E9F">
      <w:pPr>
        <w:pStyle w:val="Tekstprzypisudolnego"/>
      </w:pPr>
      <w:r>
        <w:rPr>
          <w:rStyle w:val="Odwoanieprzypisudolnego"/>
        </w:rPr>
        <w:footnoteRef/>
      </w:r>
      <w:r>
        <w:t xml:space="preserve"> </w:t>
      </w:r>
      <w:r w:rsidR="00DD2E8E" w:rsidRPr="00DD2E8E">
        <w:t>Opracowanie HREIT na podstawie danych MSWiA</w:t>
      </w:r>
    </w:p>
  </w:footnote>
  <w:footnote w:id="4">
    <w:p w14:paraId="567EF904" w14:textId="7601215E" w:rsidR="00B24F18" w:rsidRDefault="00B24F18">
      <w:pPr>
        <w:pStyle w:val="Tekstprzypisudolnego"/>
      </w:pPr>
      <w:r>
        <w:rPr>
          <w:rStyle w:val="Odwoanieprzypisudolnego"/>
        </w:rPr>
        <w:footnoteRef/>
      </w:r>
      <w:r>
        <w:t xml:space="preserve"> Raport pt. "Z wyższej półki. Mieszkania o podwyższonym  standardzie i luksusowe", ThinkCo, 2024</w:t>
      </w:r>
    </w:p>
  </w:footnote>
  <w:footnote w:id="5">
    <w:p w14:paraId="45CF2524" w14:textId="0080AA37" w:rsidR="009879BA" w:rsidRDefault="009879BA">
      <w:pPr>
        <w:pStyle w:val="Tekstprzypisudolnego"/>
      </w:pPr>
      <w:r>
        <w:rPr>
          <w:rStyle w:val="Odwoanieprzypisudolnego"/>
        </w:rPr>
        <w:footnoteRef/>
      </w:r>
      <w:r>
        <w:t xml:space="preserve"> Raport pl. „Rynek dóbr luksusowych w Polsce. Czy sztuka jest luksusem?”, KPMG, 2024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4035A" w14:textId="14D613EA" w:rsidR="005A6417" w:rsidRDefault="0056625B" w:rsidP="0056625B">
    <w:pPr>
      <w:pStyle w:val="Nagwek"/>
      <w:jc w:val="center"/>
    </w:pPr>
    <w:r>
      <w:rPr>
        <w:noProof/>
      </w:rPr>
      <w:drawing>
        <wp:inline distT="0" distB="0" distL="0" distR="0" wp14:anchorId="73C6A7CF" wp14:editId="2A0772B8">
          <wp:extent cx="685800" cy="818852"/>
          <wp:effectExtent l="0" t="0" r="0" b="635"/>
          <wp:docPr id="2057524891" name="Obraz 1" descr="Obraz zawierający symbol, Czcionka, logo, godło&#10;&#10;Opis wygenerowany automatycznie">
            <a:extLst xmlns:a="http://schemas.openxmlformats.org/drawingml/2006/main">
              <a:ext uri="{FF2B5EF4-FFF2-40B4-BE49-F238E27FC236}">
                <a16:creationId xmlns:a16="http://schemas.microsoft.com/office/drawing/2014/main" id="{1AAE870E-009D-41C2-5BC9-FFF0333546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symbol, Czcionka, logo, godło&#10;&#10;Opis wygenerowany automatycznie">
                    <a:extLst>
                      <a:ext uri="{FF2B5EF4-FFF2-40B4-BE49-F238E27FC236}">
                        <a16:creationId xmlns:a16="http://schemas.microsoft.com/office/drawing/2014/main" id="{1AAE870E-009D-41C2-5BC9-FFF0333546A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7975" cy="8214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DE"/>
    <w:rsid w:val="00002492"/>
    <w:rsid w:val="00023012"/>
    <w:rsid w:val="00044E0E"/>
    <w:rsid w:val="00051CFD"/>
    <w:rsid w:val="000715EB"/>
    <w:rsid w:val="000910ED"/>
    <w:rsid w:val="0009395F"/>
    <w:rsid w:val="000B6460"/>
    <w:rsid w:val="000E1E74"/>
    <w:rsid w:val="000F3D71"/>
    <w:rsid w:val="000F5FDE"/>
    <w:rsid w:val="00116A41"/>
    <w:rsid w:val="001240C8"/>
    <w:rsid w:val="001417BC"/>
    <w:rsid w:val="00142F77"/>
    <w:rsid w:val="00170D08"/>
    <w:rsid w:val="00170D68"/>
    <w:rsid w:val="0017327C"/>
    <w:rsid w:val="00173375"/>
    <w:rsid w:val="00175F4E"/>
    <w:rsid w:val="00181DF5"/>
    <w:rsid w:val="00182C07"/>
    <w:rsid w:val="00192FFE"/>
    <w:rsid w:val="001D5F1D"/>
    <w:rsid w:val="00200649"/>
    <w:rsid w:val="002047F9"/>
    <w:rsid w:val="002321B5"/>
    <w:rsid w:val="0023567C"/>
    <w:rsid w:val="00285872"/>
    <w:rsid w:val="002909F6"/>
    <w:rsid w:val="00291F81"/>
    <w:rsid w:val="002B3EE4"/>
    <w:rsid w:val="00313668"/>
    <w:rsid w:val="00316891"/>
    <w:rsid w:val="00334796"/>
    <w:rsid w:val="003473A0"/>
    <w:rsid w:val="00390B00"/>
    <w:rsid w:val="00394CA2"/>
    <w:rsid w:val="003A7A3B"/>
    <w:rsid w:val="003B5077"/>
    <w:rsid w:val="003B69A3"/>
    <w:rsid w:val="003D3D38"/>
    <w:rsid w:val="003E2DB4"/>
    <w:rsid w:val="003F3207"/>
    <w:rsid w:val="004146A4"/>
    <w:rsid w:val="00425CA8"/>
    <w:rsid w:val="00432D97"/>
    <w:rsid w:val="00487B9E"/>
    <w:rsid w:val="004E7644"/>
    <w:rsid w:val="00511DBD"/>
    <w:rsid w:val="00511FF3"/>
    <w:rsid w:val="005144F8"/>
    <w:rsid w:val="00517795"/>
    <w:rsid w:val="005210C7"/>
    <w:rsid w:val="005602CF"/>
    <w:rsid w:val="0056625B"/>
    <w:rsid w:val="00593DB3"/>
    <w:rsid w:val="005A6417"/>
    <w:rsid w:val="005B3E9D"/>
    <w:rsid w:val="005D1C78"/>
    <w:rsid w:val="005F562A"/>
    <w:rsid w:val="00617D20"/>
    <w:rsid w:val="0063007B"/>
    <w:rsid w:val="00633385"/>
    <w:rsid w:val="00651338"/>
    <w:rsid w:val="006638AA"/>
    <w:rsid w:val="006757EA"/>
    <w:rsid w:val="006863E5"/>
    <w:rsid w:val="006B60DF"/>
    <w:rsid w:val="006C764B"/>
    <w:rsid w:val="006E62A8"/>
    <w:rsid w:val="00780286"/>
    <w:rsid w:val="007933EA"/>
    <w:rsid w:val="007B0C09"/>
    <w:rsid w:val="007B6E58"/>
    <w:rsid w:val="00802D78"/>
    <w:rsid w:val="0080556B"/>
    <w:rsid w:val="00810E3F"/>
    <w:rsid w:val="00811122"/>
    <w:rsid w:val="00813567"/>
    <w:rsid w:val="008156C3"/>
    <w:rsid w:val="008812AA"/>
    <w:rsid w:val="008A61E3"/>
    <w:rsid w:val="008B50A8"/>
    <w:rsid w:val="008E3CB6"/>
    <w:rsid w:val="008E57D0"/>
    <w:rsid w:val="00917CA8"/>
    <w:rsid w:val="009248DE"/>
    <w:rsid w:val="0092591B"/>
    <w:rsid w:val="00926784"/>
    <w:rsid w:val="00943E37"/>
    <w:rsid w:val="00944CDA"/>
    <w:rsid w:val="009554D1"/>
    <w:rsid w:val="00956877"/>
    <w:rsid w:val="0098401C"/>
    <w:rsid w:val="00985D38"/>
    <w:rsid w:val="009879BA"/>
    <w:rsid w:val="00996C3D"/>
    <w:rsid w:val="009C052C"/>
    <w:rsid w:val="009C2409"/>
    <w:rsid w:val="009C407B"/>
    <w:rsid w:val="00A045F5"/>
    <w:rsid w:val="00A32687"/>
    <w:rsid w:val="00A55AD5"/>
    <w:rsid w:val="00A662D7"/>
    <w:rsid w:val="00A664C9"/>
    <w:rsid w:val="00AA0210"/>
    <w:rsid w:val="00AD3721"/>
    <w:rsid w:val="00B24F18"/>
    <w:rsid w:val="00B81728"/>
    <w:rsid w:val="00B92C3E"/>
    <w:rsid w:val="00BA29A5"/>
    <w:rsid w:val="00BB22B8"/>
    <w:rsid w:val="00BC5B0A"/>
    <w:rsid w:val="00BE49DE"/>
    <w:rsid w:val="00BE4BD9"/>
    <w:rsid w:val="00BF3FF8"/>
    <w:rsid w:val="00BF4CDA"/>
    <w:rsid w:val="00C03E90"/>
    <w:rsid w:val="00C13AB0"/>
    <w:rsid w:val="00C2201F"/>
    <w:rsid w:val="00C75544"/>
    <w:rsid w:val="00CE6726"/>
    <w:rsid w:val="00CE7B27"/>
    <w:rsid w:val="00D02B55"/>
    <w:rsid w:val="00D165ED"/>
    <w:rsid w:val="00D304A0"/>
    <w:rsid w:val="00D43507"/>
    <w:rsid w:val="00D61749"/>
    <w:rsid w:val="00DA5D32"/>
    <w:rsid w:val="00DB5356"/>
    <w:rsid w:val="00DD126F"/>
    <w:rsid w:val="00DD2967"/>
    <w:rsid w:val="00DD2E8E"/>
    <w:rsid w:val="00E21975"/>
    <w:rsid w:val="00E24AC6"/>
    <w:rsid w:val="00E32CB0"/>
    <w:rsid w:val="00E764D3"/>
    <w:rsid w:val="00E8194C"/>
    <w:rsid w:val="00E87643"/>
    <w:rsid w:val="00E933D8"/>
    <w:rsid w:val="00EB4D0B"/>
    <w:rsid w:val="00ED7987"/>
    <w:rsid w:val="00EE4585"/>
    <w:rsid w:val="00F00E9F"/>
    <w:rsid w:val="00F1296B"/>
    <w:rsid w:val="00F25D73"/>
    <w:rsid w:val="00F3400C"/>
    <w:rsid w:val="00F63725"/>
    <w:rsid w:val="00F72AC2"/>
    <w:rsid w:val="00F90318"/>
    <w:rsid w:val="00FE2B41"/>
    <w:rsid w:val="00FF0071"/>
    <w:rsid w:val="00FF2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F893F"/>
  <w15:chartTrackingRefBased/>
  <w15:docId w15:val="{29DFAA82-D31F-4580-9E3E-D366B9AB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F5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F5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F5FD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F5FD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F5FD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F5F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F5F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F5F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F5F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F5FD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F5FD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F5FD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F5FD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F5FD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F5F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F5F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F5F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F5FDE"/>
    <w:rPr>
      <w:rFonts w:eastAsiaTheme="majorEastAsia" w:cstheme="majorBidi"/>
      <w:color w:val="272727" w:themeColor="text1" w:themeTint="D8"/>
    </w:rPr>
  </w:style>
  <w:style w:type="paragraph" w:styleId="Tytu">
    <w:name w:val="Title"/>
    <w:basedOn w:val="Normalny"/>
    <w:next w:val="Normalny"/>
    <w:link w:val="TytuZnak"/>
    <w:uiPriority w:val="10"/>
    <w:qFormat/>
    <w:rsid w:val="000F5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F5F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F5F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F5F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F5FDE"/>
    <w:pPr>
      <w:spacing w:before="160"/>
      <w:jc w:val="center"/>
    </w:pPr>
    <w:rPr>
      <w:i/>
      <w:iCs/>
      <w:color w:val="404040" w:themeColor="text1" w:themeTint="BF"/>
    </w:rPr>
  </w:style>
  <w:style w:type="character" w:customStyle="1" w:styleId="CytatZnak">
    <w:name w:val="Cytat Znak"/>
    <w:basedOn w:val="Domylnaczcionkaakapitu"/>
    <w:link w:val="Cytat"/>
    <w:uiPriority w:val="29"/>
    <w:rsid w:val="000F5FDE"/>
    <w:rPr>
      <w:i/>
      <w:iCs/>
      <w:color w:val="404040" w:themeColor="text1" w:themeTint="BF"/>
    </w:rPr>
  </w:style>
  <w:style w:type="paragraph" w:styleId="Akapitzlist">
    <w:name w:val="List Paragraph"/>
    <w:basedOn w:val="Normalny"/>
    <w:uiPriority w:val="34"/>
    <w:qFormat/>
    <w:rsid w:val="000F5FDE"/>
    <w:pPr>
      <w:ind w:left="720"/>
      <w:contextualSpacing/>
    </w:pPr>
  </w:style>
  <w:style w:type="character" w:styleId="Wyrnienieintensywne">
    <w:name w:val="Intense Emphasis"/>
    <w:basedOn w:val="Domylnaczcionkaakapitu"/>
    <w:uiPriority w:val="21"/>
    <w:qFormat/>
    <w:rsid w:val="000F5FDE"/>
    <w:rPr>
      <w:i/>
      <w:iCs/>
      <w:color w:val="0F4761" w:themeColor="accent1" w:themeShade="BF"/>
    </w:rPr>
  </w:style>
  <w:style w:type="paragraph" w:styleId="Cytatintensywny">
    <w:name w:val="Intense Quote"/>
    <w:basedOn w:val="Normalny"/>
    <w:next w:val="Normalny"/>
    <w:link w:val="CytatintensywnyZnak"/>
    <w:uiPriority w:val="30"/>
    <w:qFormat/>
    <w:rsid w:val="000F5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F5FDE"/>
    <w:rPr>
      <w:i/>
      <w:iCs/>
      <w:color w:val="0F4761" w:themeColor="accent1" w:themeShade="BF"/>
    </w:rPr>
  </w:style>
  <w:style w:type="character" w:styleId="Odwoanieintensywne">
    <w:name w:val="Intense Reference"/>
    <w:basedOn w:val="Domylnaczcionkaakapitu"/>
    <w:uiPriority w:val="32"/>
    <w:qFormat/>
    <w:rsid w:val="000F5FDE"/>
    <w:rPr>
      <w:b/>
      <w:bCs/>
      <w:smallCaps/>
      <w:color w:val="0F4761" w:themeColor="accent1" w:themeShade="BF"/>
      <w:spacing w:val="5"/>
    </w:rPr>
  </w:style>
  <w:style w:type="paragraph" w:styleId="Nagwek">
    <w:name w:val="header"/>
    <w:basedOn w:val="Normalny"/>
    <w:link w:val="NagwekZnak"/>
    <w:uiPriority w:val="99"/>
    <w:unhideWhenUsed/>
    <w:rsid w:val="005A64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6417"/>
  </w:style>
  <w:style w:type="paragraph" w:styleId="Stopka">
    <w:name w:val="footer"/>
    <w:basedOn w:val="Normalny"/>
    <w:link w:val="StopkaZnak"/>
    <w:uiPriority w:val="99"/>
    <w:unhideWhenUsed/>
    <w:rsid w:val="005A64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6417"/>
  </w:style>
  <w:style w:type="paragraph" w:customStyle="1" w:styleId="paragraph">
    <w:name w:val="paragraph"/>
    <w:basedOn w:val="Normalny"/>
    <w:rsid w:val="003B69A3"/>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normaltextrun">
    <w:name w:val="normaltextrun"/>
    <w:basedOn w:val="Domylnaczcionkaakapitu"/>
    <w:rsid w:val="003B69A3"/>
  </w:style>
  <w:style w:type="character" w:customStyle="1" w:styleId="eop">
    <w:name w:val="eop"/>
    <w:basedOn w:val="Domylnaczcionkaakapitu"/>
    <w:rsid w:val="003B69A3"/>
  </w:style>
  <w:style w:type="character" w:styleId="Hipercze">
    <w:name w:val="Hyperlink"/>
    <w:basedOn w:val="Domylnaczcionkaakapitu"/>
    <w:uiPriority w:val="99"/>
    <w:unhideWhenUsed/>
    <w:rsid w:val="009C052C"/>
    <w:rPr>
      <w:color w:val="467886" w:themeColor="hyperlink"/>
      <w:u w:val="single"/>
    </w:rPr>
  </w:style>
  <w:style w:type="character" w:styleId="Nierozpoznanawzmianka">
    <w:name w:val="Unresolved Mention"/>
    <w:basedOn w:val="Domylnaczcionkaakapitu"/>
    <w:uiPriority w:val="99"/>
    <w:semiHidden/>
    <w:unhideWhenUsed/>
    <w:rsid w:val="009C052C"/>
    <w:rPr>
      <w:color w:val="605E5C"/>
      <w:shd w:val="clear" w:color="auto" w:fill="E1DFDD"/>
    </w:rPr>
  </w:style>
  <w:style w:type="character" w:styleId="UyteHipercze">
    <w:name w:val="FollowedHyperlink"/>
    <w:basedOn w:val="Domylnaczcionkaakapitu"/>
    <w:uiPriority w:val="99"/>
    <w:semiHidden/>
    <w:unhideWhenUsed/>
    <w:rsid w:val="009C052C"/>
    <w:rPr>
      <w:color w:val="96607D" w:themeColor="followedHyperlink"/>
      <w:u w:val="single"/>
    </w:rPr>
  </w:style>
  <w:style w:type="paragraph" w:styleId="Poprawka">
    <w:name w:val="Revision"/>
    <w:hidden/>
    <w:uiPriority w:val="99"/>
    <w:semiHidden/>
    <w:rsid w:val="00200649"/>
    <w:pPr>
      <w:spacing w:after="0" w:line="240" w:lineRule="auto"/>
    </w:pPr>
  </w:style>
  <w:style w:type="paragraph" w:styleId="Tekstprzypisudolnego">
    <w:name w:val="footnote text"/>
    <w:basedOn w:val="Normalny"/>
    <w:link w:val="TekstprzypisudolnegoZnak"/>
    <w:uiPriority w:val="99"/>
    <w:semiHidden/>
    <w:unhideWhenUsed/>
    <w:rsid w:val="00F25D7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25D73"/>
    <w:rPr>
      <w:sz w:val="20"/>
      <w:szCs w:val="20"/>
    </w:rPr>
  </w:style>
  <w:style w:type="character" w:styleId="Odwoanieprzypisudolnego">
    <w:name w:val="footnote reference"/>
    <w:basedOn w:val="Domylnaczcionkaakapitu"/>
    <w:uiPriority w:val="99"/>
    <w:semiHidden/>
    <w:unhideWhenUsed/>
    <w:rsid w:val="00F25D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076567">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sChild>
        <w:div w:id="1663196916">
          <w:marLeft w:val="0"/>
          <w:marRight w:val="0"/>
          <w:marTop w:val="0"/>
          <w:marBottom w:val="0"/>
          <w:divBdr>
            <w:top w:val="none" w:sz="0" w:space="0" w:color="auto"/>
            <w:left w:val="none" w:sz="0" w:space="0" w:color="auto"/>
            <w:bottom w:val="none" w:sz="0" w:space="0" w:color="auto"/>
            <w:right w:val="none" w:sz="0" w:space="0" w:color="auto"/>
          </w:divBdr>
        </w:div>
        <w:div w:id="1434013199">
          <w:marLeft w:val="0"/>
          <w:marRight w:val="0"/>
          <w:marTop w:val="0"/>
          <w:marBottom w:val="0"/>
          <w:divBdr>
            <w:top w:val="none" w:sz="0" w:space="0" w:color="auto"/>
            <w:left w:val="none" w:sz="0" w:space="0" w:color="auto"/>
            <w:bottom w:val="none" w:sz="0" w:space="0" w:color="auto"/>
            <w:right w:val="none" w:sz="0" w:space="0" w:color="auto"/>
          </w:divBdr>
        </w:div>
        <w:div w:id="1095245704">
          <w:marLeft w:val="0"/>
          <w:marRight w:val="0"/>
          <w:marTop w:val="0"/>
          <w:marBottom w:val="0"/>
          <w:divBdr>
            <w:top w:val="none" w:sz="0" w:space="0" w:color="auto"/>
            <w:left w:val="none" w:sz="0" w:space="0" w:color="auto"/>
            <w:bottom w:val="none" w:sz="0" w:space="0" w:color="auto"/>
            <w:right w:val="none" w:sz="0" w:space="0" w:color="auto"/>
          </w:divBdr>
        </w:div>
        <w:div w:id="101164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iotr.ostrowski@38pr.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FD2BA-31EE-4B8E-AF63-3A6BD42F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Pages>
  <Words>758</Words>
  <Characters>4554</Characters>
  <Application>Microsoft Office Word</Application>
  <DocSecurity>0</DocSecurity>
  <Lines>37</Lines>
  <Paragraphs>10</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Ostrowski</dc:creator>
  <cp:keywords/>
  <dc:description/>
  <cp:lastModifiedBy>Ostrowski, Piotr</cp:lastModifiedBy>
  <cp:revision>91</cp:revision>
  <dcterms:created xsi:type="dcterms:W3CDTF">2025-11-06T09:07:00Z</dcterms:created>
  <dcterms:modified xsi:type="dcterms:W3CDTF">2026-01-27T09:28:00Z</dcterms:modified>
</cp:coreProperties>
</file>