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1EAF49" w14:textId="77777777" w:rsidR="00CF4730" w:rsidRDefault="00CF4730">
      <w:pPr>
        <w:jc w:val="right"/>
        <w:rPr>
          <w:rFonts w:ascii="Arial" w:eastAsia="Arial" w:hAnsi="Arial" w:cs="Arial"/>
          <w:i/>
          <w:iCs/>
        </w:rPr>
      </w:pPr>
    </w:p>
    <w:p w14:paraId="12376A06" w14:textId="77777777" w:rsidR="00CF4730" w:rsidRDefault="00000000">
      <w:pPr>
        <w:jc w:val="right"/>
        <w:rPr>
          <w:rFonts w:ascii="Arial" w:eastAsia="Arial" w:hAnsi="Arial" w:cs="Arial"/>
          <w:i/>
          <w:iCs/>
        </w:rPr>
      </w:pPr>
      <w:r>
        <w:rPr>
          <w:rFonts w:ascii="Arial" w:eastAsia="Arial" w:hAnsi="Arial" w:cs="Arial"/>
          <w:i/>
          <w:iCs/>
        </w:rPr>
        <w:t>Warszawa, 27 stycznia 2025 r.</w:t>
      </w:r>
    </w:p>
    <w:p w14:paraId="72EB2E3C" w14:textId="77777777" w:rsidR="00CF4730" w:rsidRDefault="00CF4730">
      <w:pPr>
        <w:jc w:val="center"/>
        <w:rPr>
          <w:rFonts w:ascii="Arial" w:eastAsia="Arial" w:hAnsi="Arial" w:cs="Arial"/>
          <w:b/>
          <w:bCs/>
          <w:sz w:val="28"/>
          <w:szCs w:val="28"/>
        </w:rPr>
      </w:pPr>
    </w:p>
    <w:p w14:paraId="4359ADA1" w14:textId="77777777" w:rsidR="00CF4730" w:rsidRDefault="00000000">
      <w:pPr>
        <w:jc w:val="center"/>
        <w:rPr>
          <w:rFonts w:ascii="Arial" w:eastAsia="Arial" w:hAnsi="Arial" w:cs="Arial"/>
          <w:sz w:val="28"/>
          <w:szCs w:val="28"/>
        </w:rPr>
      </w:pPr>
      <w:proofErr w:type="spellStart"/>
      <w:r>
        <w:rPr>
          <w:rFonts w:ascii="Arial" w:eastAsia="Arial" w:hAnsi="Arial" w:cs="Arial"/>
          <w:b/>
          <w:bCs/>
          <w:sz w:val="28"/>
          <w:szCs w:val="28"/>
        </w:rPr>
        <w:t>Future</w:t>
      </w:r>
      <w:proofErr w:type="spellEnd"/>
      <w:r>
        <w:rPr>
          <w:rFonts w:ascii="Arial" w:eastAsia="Arial" w:hAnsi="Arial" w:cs="Arial"/>
          <w:b/>
          <w:bCs/>
          <w:sz w:val="28"/>
          <w:szCs w:val="28"/>
        </w:rPr>
        <w:t xml:space="preserve"> </w:t>
      </w:r>
      <w:proofErr w:type="spellStart"/>
      <w:r>
        <w:rPr>
          <w:rFonts w:ascii="Arial" w:eastAsia="Arial" w:hAnsi="Arial" w:cs="Arial"/>
          <w:b/>
          <w:bCs/>
          <w:sz w:val="28"/>
          <w:szCs w:val="28"/>
        </w:rPr>
        <w:t>Mind</w:t>
      </w:r>
      <w:proofErr w:type="spellEnd"/>
      <w:r>
        <w:rPr>
          <w:rFonts w:ascii="Arial" w:eastAsia="Arial" w:hAnsi="Arial" w:cs="Arial"/>
          <w:b/>
          <w:bCs/>
          <w:sz w:val="28"/>
          <w:szCs w:val="28"/>
        </w:rPr>
        <w:t xml:space="preserve">: Dwie trzecie </w:t>
      </w:r>
      <w:proofErr w:type="spellStart"/>
      <w:r>
        <w:rPr>
          <w:rFonts w:ascii="Arial" w:eastAsia="Arial" w:hAnsi="Arial" w:cs="Arial"/>
          <w:b/>
          <w:bCs/>
          <w:sz w:val="28"/>
          <w:szCs w:val="28"/>
        </w:rPr>
        <w:t>retailerów</w:t>
      </w:r>
      <w:proofErr w:type="spellEnd"/>
      <w:r>
        <w:rPr>
          <w:rFonts w:ascii="Arial" w:eastAsia="Arial" w:hAnsi="Arial" w:cs="Arial"/>
          <w:b/>
          <w:bCs/>
          <w:sz w:val="28"/>
          <w:szCs w:val="28"/>
        </w:rPr>
        <w:t xml:space="preserve"> krytycznie ocenia 2025 rok. W planach inwestycje w infrastrukturę IT i AI</w:t>
      </w:r>
    </w:p>
    <w:p w14:paraId="6266E0D0" w14:textId="77777777" w:rsidR="00CF4730" w:rsidRDefault="00000000">
      <w:pPr>
        <w:jc w:val="both"/>
        <w:rPr>
          <w:rFonts w:ascii="Arial" w:eastAsia="Arial" w:hAnsi="Arial" w:cs="Arial"/>
          <w:b/>
          <w:bCs/>
        </w:rPr>
      </w:pPr>
      <w:r>
        <w:rPr>
          <w:rFonts w:ascii="Arial" w:eastAsia="Arial" w:hAnsi="Arial" w:cs="Arial"/>
          <w:b/>
          <w:bCs/>
        </w:rPr>
        <w:t xml:space="preserve">Rok 2025 był dla polskiego handlu detalicznego okresem względnej stabilizacji,  jednak eksperci branży wyrazili stosunkowo duży sceptycyzm w ocenie jej kondycji. W najnowszym Barometrze Retail firmy doradczo-technologicznej </w:t>
      </w:r>
      <w:proofErr w:type="spellStart"/>
      <w:r>
        <w:rPr>
          <w:rFonts w:ascii="Arial" w:eastAsia="Arial" w:hAnsi="Arial" w:cs="Arial"/>
          <w:b/>
          <w:bCs/>
        </w:rPr>
        <w:t>Future</w:t>
      </w:r>
      <w:proofErr w:type="spellEnd"/>
      <w:r>
        <w:rPr>
          <w:rFonts w:ascii="Arial" w:eastAsia="Arial" w:hAnsi="Arial" w:cs="Arial"/>
          <w:b/>
          <w:bCs/>
        </w:rPr>
        <w:t xml:space="preserve"> </w:t>
      </w:r>
      <w:proofErr w:type="spellStart"/>
      <w:r>
        <w:rPr>
          <w:rFonts w:ascii="Arial" w:eastAsia="Arial" w:hAnsi="Arial" w:cs="Arial"/>
          <w:b/>
          <w:bCs/>
        </w:rPr>
        <w:t>Mind</w:t>
      </w:r>
      <w:proofErr w:type="spellEnd"/>
      <w:r>
        <w:rPr>
          <w:rFonts w:ascii="Arial" w:eastAsia="Arial" w:hAnsi="Arial" w:cs="Arial"/>
          <w:b/>
          <w:bCs/>
        </w:rPr>
        <w:t xml:space="preserve"> aż 76 proc. z nich oceniło sytuację segmentu jako słabą lub przeciętną. Jednocześnie 24 proc. badanych uznało ją za dobrą. Co ciekawe, ani jeden respondent nie ocenił jej jako bardzo dobrą. Ponad jedna trzecia spodziewa się jednak w najbliższych 12 miesiącach jej poprawy. Za największą szansę dla branży niemal połowa (48 proc.) respondentów uznała ekspansję na nowe rynki.</w:t>
      </w:r>
    </w:p>
    <w:p w14:paraId="1FCB77E9" w14:textId="77777777" w:rsidR="00CF4730" w:rsidRDefault="00000000">
      <w:pPr>
        <w:jc w:val="both"/>
        <w:rPr>
          <w:rFonts w:ascii="Arial" w:eastAsia="Arial" w:hAnsi="Arial" w:cs="Arial"/>
          <w:b/>
          <w:bCs/>
        </w:rPr>
      </w:pPr>
      <w:r>
        <w:rPr>
          <w:rFonts w:ascii="Arial" w:eastAsia="Arial" w:hAnsi="Arial" w:cs="Arial"/>
          <w:b/>
          <w:bCs/>
        </w:rPr>
        <w:t xml:space="preserve">Co czeka </w:t>
      </w:r>
      <w:proofErr w:type="spellStart"/>
      <w:r>
        <w:rPr>
          <w:rFonts w:ascii="Arial" w:eastAsia="Arial" w:hAnsi="Arial" w:cs="Arial"/>
          <w:b/>
          <w:bCs/>
        </w:rPr>
        <w:t>retail</w:t>
      </w:r>
      <w:proofErr w:type="spellEnd"/>
      <w:r>
        <w:rPr>
          <w:rFonts w:ascii="Arial" w:eastAsia="Arial" w:hAnsi="Arial" w:cs="Arial"/>
          <w:b/>
          <w:bCs/>
        </w:rPr>
        <w:t xml:space="preserve"> w 2026? Rosnące koszty i konkurencja głównymi wyzwaniami</w:t>
      </w:r>
    </w:p>
    <w:p w14:paraId="5BC3F225" w14:textId="77777777" w:rsidR="00CF4730" w:rsidRDefault="00000000">
      <w:pPr>
        <w:jc w:val="both"/>
        <w:rPr>
          <w:rFonts w:ascii="Arial" w:eastAsia="Arial" w:hAnsi="Arial" w:cs="Arial"/>
        </w:rPr>
      </w:pPr>
      <w:r>
        <w:rPr>
          <w:rFonts w:ascii="Arial" w:eastAsia="Arial" w:hAnsi="Arial" w:cs="Arial"/>
        </w:rPr>
        <w:t xml:space="preserve">Najczęstszą prognozą </w:t>
      </w:r>
      <w:proofErr w:type="spellStart"/>
      <w:r>
        <w:rPr>
          <w:rFonts w:ascii="Arial" w:eastAsia="Arial" w:hAnsi="Arial" w:cs="Arial"/>
        </w:rPr>
        <w:t>retailerów</w:t>
      </w:r>
      <w:proofErr w:type="spellEnd"/>
      <w:r>
        <w:rPr>
          <w:rFonts w:ascii="Arial" w:eastAsia="Arial" w:hAnsi="Arial" w:cs="Arial"/>
        </w:rPr>
        <w:t xml:space="preserve"> na 2026 rok jest utrzymywanie się obecnej sytuacji – tak sądzi ponad połowa respondentów (52 proc.). Jednocześnie 34 proc. spodziewa się poprawy, w tym 29 proc. umiarkowanej i 5 proc. znaczącej. W kontrze jest 14 proc. ankietowanych, którzy sądzą, że nastąpi pogorszenie. Co istotne – żaden ekspert nie prognozuje, że kondycja branży będzie dużo gorsza względem ubiegłego roku. Jeśli chodzi o wyzwania sektora – najczęściej </w:t>
      </w:r>
      <w:proofErr w:type="spellStart"/>
      <w:r>
        <w:rPr>
          <w:rFonts w:ascii="Arial" w:eastAsia="Arial" w:hAnsi="Arial" w:cs="Arial"/>
        </w:rPr>
        <w:t>retailerzy</w:t>
      </w:r>
      <w:proofErr w:type="spellEnd"/>
      <w:r>
        <w:rPr>
          <w:rFonts w:ascii="Arial" w:eastAsia="Arial" w:hAnsi="Arial" w:cs="Arial"/>
        </w:rPr>
        <w:t xml:space="preserve"> wskazują na rosnące koszty operacyjne, które wskazało 67 proc. z nich oraz politykę handlową i regulacje, które wybrało 52 proc. Jako istotne obciążenie wskazują także sytuację geopolityczną i niepewność gospodarczą oraz konkurencyjne środowisko handlowe (po 33 proc.). W porównaniu do wcześniejszych lat, wyraźnie mniejsze znaczenie mają problemy kadrowe czy kwestie zrównoważonego rozwoju, które wskazało jedynie po 5 proc. osób.</w:t>
      </w:r>
    </w:p>
    <w:p w14:paraId="072D60BE" w14:textId="77777777" w:rsidR="00CF4730" w:rsidRDefault="00000000">
      <w:pPr>
        <w:jc w:val="both"/>
        <w:rPr>
          <w:rFonts w:ascii="Arial" w:eastAsia="Arial" w:hAnsi="Arial" w:cs="Arial"/>
          <w:b/>
          <w:bCs/>
        </w:rPr>
      </w:pPr>
      <w:r>
        <w:rPr>
          <w:rFonts w:ascii="Arial" w:eastAsia="Arial" w:hAnsi="Arial" w:cs="Arial"/>
          <w:b/>
          <w:bCs/>
        </w:rPr>
        <w:t xml:space="preserve">Największe inwestycje w IT? Sztuczna inteligencja </w:t>
      </w:r>
    </w:p>
    <w:p w14:paraId="72E510B1" w14:textId="77777777" w:rsidR="00CF4730" w:rsidRDefault="00000000">
      <w:pPr>
        <w:jc w:val="both"/>
        <w:rPr>
          <w:rFonts w:ascii="Arial" w:eastAsia="Arial" w:hAnsi="Arial" w:cs="Arial"/>
        </w:rPr>
      </w:pPr>
      <w:r>
        <w:rPr>
          <w:rFonts w:ascii="Arial" w:eastAsia="Arial" w:hAnsi="Arial" w:cs="Arial"/>
        </w:rPr>
        <w:t xml:space="preserve">Mimo utrzymujących się wyzwań, handel detaliczny nie rezygnuje z inwestycji technologicznych. Porównując dane z ubiegłorocznej edycji widać wśród ekspertów branży zwiększony optymizm z nimi związany. W 2026 roku 38 proc. </w:t>
      </w:r>
      <w:proofErr w:type="spellStart"/>
      <w:r>
        <w:rPr>
          <w:rFonts w:ascii="Arial" w:eastAsia="Arial" w:hAnsi="Arial" w:cs="Arial"/>
        </w:rPr>
        <w:t>retailerów</w:t>
      </w:r>
      <w:proofErr w:type="spellEnd"/>
      <w:r>
        <w:rPr>
          <w:rFonts w:ascii="Arial" w:eastAsia="Arial" w:hAnsi="Arial" w:cs="Arial"/>
        </w:rPr>
        <w:t xml:space="preserve"> planuje zwiększyć nakłady na rozwój infrastruktury IT w swojej firmie w porównaniu do 24 proc. przed rokiem. Jedynie co dziesiąty deklaruje ograniczenie inwestycji, podczas gdy rok temu było to 15 proc. Z kolei co trzeci respondent zamierza utrzymać je na takim samym poziomie jak w 2025 roku. U progu 2026 widać wyraźny wzrost optymizmu i gotowości do zwiększania nakładów na infrastrukturę IT. Największe zainteresowanie dotyczy rozwiązań opartych o sztuczną inteligencję – aż 52 proc. planuje zwiększyć inwestycje w tym obszarze. Wysoko na liście priorytetów znajdują się również konsumenckie aplikacje mobilne (48 proc.), technologie chmurowe (43 proc.), platformy e-commerce (40 proc.) oraz zarządzanie danymi i analityka (38 proc.), a 3 na 10 firm wskazuje, że duże znaczenie mają dla nich </w:t>
      </w:r>
      <w:proofErr w:type="spellStart"/>
      <w:r>
        <w:rPr>
          <w:rFonts w:ascii="Arial" w:eastAsia="Arial" w:hAnsi="Arial" w:cs="Arial"/>
        </w:rPr>
        <w:t>retail</w:t>
      </w:r>
      <w:proofErr w:type="spellEnd"/>
      <w:r>
        <w:rPr>
          <w:rFonts w:ascii="Arial" w:eastAsia="Arial" w:hAnsi="Arial" w:cs="Arial"/>
        </w:rPr>
        <w:t xml:space="preserve"> media oraz cyfryzacja i automatyzacja procesów logistycznych (po 29 proc.).</w:t>
      </w:r>
    </w:p>
    <w:p w14:paraId="58BE54EE" w14:textId="77777777" w:rsidR="00CF4730" w:rsidRDefault="00000000">
      <w:pPr>
        <w:jc w:val="both"/>
        <w:rPr>
          <w:rFonts w:ascii="Arial" w:eastAsia="Arial" w:hAnsi="Arial" w:cs="Arial"/>
          <w:b/>
          <w:bCs/>
        </w:rPr>
      </w:pPr>
      <w:r>
        <w:rPr>
          <w:rFonts w:ascii="Arial" w:eastAsia="Arial" w:hAnsi="Arial" w:cs="Arial"/>
        </w:rPr>
        <w:t xml:space="preserve">– </w:t>
      </w:r>
      <w:r>
        <w:rPr>
          <w:rFonts w:ascii="Arial" w:eastAsia="Arial" w:hAnsi="Arial" w:cs="Arial"/>
          <w:i/>
          <w:iCs/>
        </w:rPr>
        <w:t xml:space="preserve">Wyniki Barometru pokazują, że firmy mają dużą świadomość presji kosztowej i regulacyjnej, dlatego coraz częściej myślą o technologii nie jako o innowacji „na pokaz”, lecz jako o narzędziu realnej optymalizacji biznesu. Inwestycje w AI, dane czy infrastrukturę IT mają dziś bardzo konkretny cel – poprawę efektywności, lepsze zrozumienie klienta i możliwość skalowania biznesu, także poza Polską. </w:t>
      </w:r>
      <w:proofErr w:type="spellStart"/>
      <w:r>
        <w:rPr>
          <w:rFonts w:ascii="Arial" w:eastAsia="Arial" w:hAnsi="Arial" w:cs="Arial"/>
          <w:i/>
          <w:iCs/>
        </w:rPr>
        <w:t>Retailerzy</w:t>
      </w:r>
      <w:proofErr w:type="spellEnd"/>
      <w:r>
        <w:rPr>
          <w:rFonts w:ascii="Arial" w:eastAsia="Arial" w:hAnsi="Arial" w:cs="Arial"/>
          <w:i/>
          <w:iCs/>
        </w:rPr>
        <w:t xml:space="preserve">, którzy w najbliższych latach wygrają, to </w:t>
      </w:r>
      <w:r>
        <w:rPr>
          <w:rFonts w:ascii="Arial" w:eastAsia="Arial" w:hAnsi="Arial" w:cs="Arial"/>
          <w:i/>
          <w:iCs/>
        </w:rPr>
        <w:lastRenderedPageBreak/>
        <w:t xml:space="preserve">nie ci, którzy wdrożą najwięcej narzędzi, ale ci, którzy skutecznie przeprowadzą transformację sposobu pracy z AI </w:t>
      </w:r>
      <w:r>
        <w:rPr>
          <w:rFonts w:ascii="Arial" w:eastAsia="Arial" w:hAnsi="Arial" w:cs="Arial"/>
        </w:rPr>
        <w:t xml:space="preserve">– komentuje </w:t>
      </w:r>
      <w:r>
        <w:rPr>
          <w:rFonts w:ascii="Arial" w:eastAsia="Arial" w:hAnsi="Arial" w:cs="Arial"/>
          <w:b/>
          <w:bCs/>
        </w:rPr>
        <w:t xml:space="preserve">Tomasz Koperski, CEO w </w:t>
      </w:r>
      <w:proofErr w:type="spellStart"/>
      <w:r>
        <w:rPr>
          <w:rFonts w:ascii="Arial" w:eastAsia="Arial" w:hAnsi="Arial" w:cs="Arial"/>
          <w:b/>
          <w:bCs/>
        </w:rPr>
        <w:t>Future</w:t>
      </w:r>
      <w:proofErr w:type="spellEnd"/>
      <w:r>
        <w:rPr>
          <w:rFonts w:ascii="Arial" w:eastAsia="Arial" w:hAnsi="Arial" w:cs="Arial"/>
          <w:b/>
          <w:bCs/>
        </w:rPr>
        <w:t xml:space="preserve"> </w:t>
      </w:r>
      <w:proofErr w:type="spellStart"/>
      <w:r>
        <w:rPr>
          <w:rFonts w:ascii="Arial" w:eastAsia="Arial" w:hAnsi="Arial" w:cs="Arial"/>
          <w:b/>
          <w:bCs/>
        </w:rPr>
        <w:t>Mind</w:t>
      </w:r>
      <w:proofErr w:type="spellEnd"/>
      <w:r>
        <w:rPr>
          <w:rFonts w:ascii="Arial" w:eastAsia="Arial" w:hAnsi="Arial" w:cs="Arial"/>
          <w:b/>
          <w:bCs/>
        </w:rPr>
        <w:t xml:space="preserve">, a </w:t>
      </w:r>
      <w:proofErr w:type="spellStart"/>
      <w:r>
        <w:rPr>
          <w:rFonts w:ascii="Arial" w:eastAsia="Arial" w:hAnsi="Arial" w:cs="Arial"/>
          <w:b/>
          <w:bCs/>
        </w:rPr>
        <w:t>Solita</w:t>
      </w:r>
      <w:proofErr w:type="spellEnd"/>
      <w:r>
        <w:rPr>
          <w:rFonts w:ascii="Arial" w:eastAsia="Arial" w:hAnsi="Arial" w:cs="Arial"/>
          <w:b/>
          <w:bCs/>
        </w:rPr>
        <w:t xml:space="preserve"> Company. </w:t>
      </w:r>
    </w:p>
    <w:p w14:paraId="18CD0767" w14:textId="77777777" w:rsidR="00CF4730" w:rsidRDefault="00000000">
      <w:pPr>
        <w:jc w:val="both"/>
        <w:rPr>
          <w:rFonts w:ascii="Arial" w:eastAsia="Arial" w:hAnsi="Arial" w:cs="Arial"/>
        </w:rPr>
      </w:pPr>
      <w:r>
        <w:rPr>
          <w:rFonts w:ascii="Arial" w:eastAsia="Arial" w:hAnsi="Arial" w:cs="Arial"/>
          <w:b/>
          <w:bCs/>
        </w:rPr>
        <w:t>Zagraniczne rynki na czele szans</w:t>
      </w:r>
    </w:p>
    <w:p w14:paraId="0CA1C533" w14:textId="77777777" w:rsidR="00CF4730" w:rsidRDefault="00000000">
      <w:pPr>
        <w:jc w:val="both"/>
        <w:rPr>
          <w:rFonts w:ascii="Arial" w:eastAsia="Arial" w:hAnsi="Arial" w:cs="Arial"/>
        </w:rPr>
      </w:pPr>
      <w:r>
        <w:rPr>
          <w:rFonts w:ascii="Arial" w:eastAsia="Arial" w:hAnsi="Arial" w:cs="Arial"/>
        </w:rPr>
        <w:t>Za najbardziej obiecujące dla rozwoju handlu detalicznego, uczestnicy Barometru Retail uznają ekspansję na nowe rynki (48 proc.) oraz dalszy rozwój e-commerce (43 proc.). Istotną rolę odgrywa według nich także wszechstronne wykorzystywanie AI – od automatyzacji procesów (33 proc.) przez personalizację produktów, usług i komunikacji marketingowej (24 proc.). Rozwiązania mobilne i m-</w:t>
      </w:r>
      <w:proofErr w:type="spellStart"/>
      <w:r>
        <w:rPr>
          <w:rFonts w:ascii="Arial" w:eastAsia="Arial" w:hAnsi="Arial" w:cs="Arial"/>
        </w:rPr>
        <w:t>commerce</w:t>
      </w:r>
      <w:proofErr w:type="spellEnd"/>
      <w:r>
        <w:rPr>
          <w:rFonts w:ascii="Arial" w:eastAsia="Arial" w:hAnsi="Arial" w:cs="Arial"/>
        </w:rPr>
        <w:t xml:space="preserve"> wybrała blisko jedna czwarta ekspertów (24 proc.). Z kolei na innowacje w logistyce i rosnący popyt na produkty lokalne wskazało  19 proc.</w:t>
      </w:r>
    </w:p>
    <w:p w14:paraId="3516F3A5" w14:textId="77777777" w:rsidR="00CF4730" w:rsidRDefault="00000000">
      <w:pPr>
        <w:jc w:val="both"/>
        <w:rPr>
          <w:rFonts w:ascii="Arial" w:eastAsia="Arial" w:hAnsi="Arial" w:cs="Arial"/>
          <w:i/>
          <w:iCs/>
          <w:sz w:val="18"/>
          <w:szCs w:val="18"/>
        </w:rPr>
      </w:pPr>
      <w:r>
        <w:rPr>
          <w:rFonts w:ascii="Arial" w:eastAsia="Arial" w:hAnsi="Arial" w:cs="Arial"/>
          <w:b/>
          <w:bCs/>
          <w:i/>
          <w:iCs/>
          <w:sz w:val="18"/>
          <w:szCs w:val="18"/>
        </w:rPr>
        <w:t>Barometr Retail</w:t>
      </w:r>
      <w:r>
        <w:rPr>
          <w:rFonts w:ascii="Arial" w:eastAsia="Arial" w:hAnsi="Arial" w:cs="Arial"/>
          <w:i/>
          <w:iCs/>
          <w:sz w:val="18"/>
          <w:szCs w:val="18"/>
        </w:rPr>
        <w:t xml:space="preserve"> został przygotowany przy użyciu dwóch metod badawczych: wywiadów internetowych wspomaganych komputerowo (CAWI) oraz wywiadów telefonicznych wspomaganych komputerowo (CATI) . Dane zostały zebrane od 21 uczestników z Polski. Respondentami byli kluczowi decydenci z firm, których centralną działalność stanowi handel detaliczny. Przedstawione spostrzeżenia odzwierciedlają perspektywy i doświadczenia liderów branży </w:t>
      </w:r>
      <w:proofErr w:type="spellStart"/>
      <w:r>
        <w:rPr>
          <w:rFonts w:ascii="Arial" w:eastAsia="Arial" w:hAnsi="Arial" w:cs="Arial"/>
          <w:i/>
          <w:iCs/>
          <w:sz w:val="18"/>
          <w:szCs w:val="18"/>
        </w:rPr>
        <w:t>retail</w:t>
      </w:r>
      <w:proofErr w:type="spellEnd"/>
      <w:r>
        <w:rPr>
          <w:rFonts w:ascii="Arial" w:eastAsia="Arial" w:hAnsi="Arial" w:cs="Arial"/>
          <w:i/>
          <w:iCs/>
          <w:sz w:val="18"/>
          <w:szCs w:val="18"/>
        </w:rPr>
        <w:t>, dzięki czemu dostarczają kompleksowego obrazu aktualnych trendów i wyzwań w sektorze.</w:t>
      </w:r>
    </w:p>
    <w:p w14:paraId="4C8DCAAC" w14:textId="77777777" w:rsidR="00CF4730" w:rsidRDefault="00000000">
      <w:pPr>
        <w:jc w:val="center"/>
        <w:rPr>
          <w:rFonts w:ascii="Arial" w:eastAsia="Arial" w:hAnsi="Arial" w:cs="Arial"/>
        </w:rPr>
      </w:pPr>
      <w:r>
        <w:rPr>
          <w:rFonts w:ascii="Arial" w:eastAsia="Arial" w:hAnsi="Arial" w:cs="Arial"/>
        </w:rPr>
        <w:t>***</w:t>
      </w:r>
    </w:p>
    <w:p w14:paraId="76A4F821" w14:textId="77777777" w:rsidR="00CF4730" w:rsidRDefault="00000000">
      <w:pPr>
        <w:jc w:val="both"/>
        <w:rPr>
          <w:rFonts w:ascii="Arial" w:eastAsia="Arial" w:hAnsi="Arial" w:cs="Arial"/>
          <w:b/>
          <w:bCs/>
          <w:sz w:val="18"/>
          <w:szCs w:val="18"/>
        </w:rPr>
      </w:pPr>
      <w:proofErr w:type="spellStart"/>
      <w:r>
        <w:rPr>
          <w:rFonts w:ascii="Arial" w:eastAsia="Arial" w:hAnsi="Arial" w:cs="Arial"/>
          <w:b/>
          <w:bCs/>
          <w:sz w:val="18"/>
          <w:szCs w:val="18"/>
        </w:rPr>
        <w:t>Future</w:t>
      </w:r>
      <w:proofErr w:type="spellEnd"/>
      <w:r>
        <w:rPr>
          <w:rFonts w:ascii="Arial" w:eastAsia="Arial" w:hAnsi="Arial" w:cs="Arial"/>
          <w:b/>
          <w:bCs/>
          <w:sz w:val="18"/>
          <w:szCs w:val="18"/>
        </w:rPr>
        <w:t xml:space="preserve"> </w:t>
      </w:r>
      <w:proofErr w:type="spellStart"/>
      <w:r>
        <w:rPr>
          <w:rFonts w:ascii="Arial" w:eastAsia="Arial" w:hAnsi="Arial" w:cs="Arial"/>
          <w:b/>
          <w:bCs/>
          <w:sz w:val="18"/>
          <w:szCs w:val="18"/>
        </w:rPr>
        <w:t>Mind</w:t>
      </w:r>
      <w:proofErr w:type="spellEnd"/>
      <w:r>
        <w:rPr>
          <w:rFonts w:ascii="Arial" w:eastAsia="Arial" w:hAnsi="Arial" w:cs="Arial"/>
          <w:b/>
          <w:bCs/>
          <w:sz w:val="18"/>
          <w:szCs w:val="18"/>
        </w:rPr>
        <w:t xml:space="preserve">, część grupy </w:t>
      </w:r>
      <w:proofErr w:type="spellStart"/>
      <w:r>
        <w:rPr>
          <w:rFonts w:ascii="Arial" w:eastAsia="Arial" w:hAnsi="Arial" w:cs="Arial"/>
          <w:b/>
          <w:bCs/>
          <w:sz w:val="18"/>
          <w:szCs w:val="18"/>
        </w:rPr>
        <w:t>Solita</w:t>
      </w:r>
      <w:proofErr w:type="spellEnd"/>
      <w:r>
        <w:rPr>
          <w:rFonts w:ascii="Arial" w:eastAsia="Arial" w:hAnsi="Arial" w:cs="Arial"/>
          <w:b/>
          <w:bCs/>
          <w:sz w:val="18"/>
          <w:szCs w:val="18"/>
        </w:rPr>
        <w:t xml:space="preserve">, </w:t>
      </w:r>
      <w:r>
        <w:rPr>
          <w:rFonts w:ascii="Arial" w:eastAsia="Arial" w:hAnsi="Arial" w:cs="Arial"/>
          <w:sz w:val="18"/>
          <w:szCs w:val="18"/>
        </w:rPr>
        <w:t xml:space="preserve">to nagradzana spółka doradczo-technologiczna, która od 18 lat tworzy innowacyjne produkty cyfrowe. Zespół </w:t>
      </w:r>
      <w:proofErr w:type="spellStart"/>
      <w:r>
        <w:rPr>
          <w:rFonts w:ascii="Arial" w:eastAsia="Arial" w:hAnsi="Arial" w:cs="Arial"/>
          <w:sz w:val="18"/>
          <w:szCs w:val="18"/>
        </w:rPr>
        <w:t>Future</w:t>
      </w:r>
      <w:proofErr w:type="spellEnd"/>
      <w:r>
        <w:rPr>
          <w:rFonts w:ascii="Arial" w:eastAsia="Arial" w:hAnsi="Arial" w:cs="Arial"/>
          <w:sz w:val="18"/>
          <w:szCs w:val="18"/>
        </w:rPr>
        <w:t xml:space="preserve"> </w:t>
      </w:r>
      <w:proofErr w:type="spellStart"/>
      <w:r>
        <w:rPr>
          <w:rFonts w:ascii="Arial" w:eastAsia="Arial" w:hAnsi="Arial" w:cs="Arial"/>
          <w:sz w:val="18"/>
          <w:szCs w:val="18"/>
        </w:rPr>
        <w:t>Mind</w:t>
      </w:r>
      <w:proofErr w:type="spellEnd"/>
      <w:r>
        <w:rPr>
          <w:rFonts w:ascii="Arial" w:eastAsia="Arial" w:hAnsi="Arial" w:cs="Arial"/>
          <w:sz w:val="18"/>
          <w:szCs w:val="18"/>
        </w:rPr>
        <w:t xml:space="preserve"> składa się z ponad 250 specjalistów, w tym doradców biznesowych i technologicznych, analityków, programistów oraz projektantów UX i UI. Dzięki eksperckiej wiedzy i doświadczeniu firma wspiera największe marki w podejmowaniu decyzji strategicznych i zarządzaniu zmianą w obszarze </w:t>
      </w:r>
      <w:proofErr w:type="spellStart"/>
      <w:r>
        <w:rPr>
          <w:rFonts w:ascii="Arial" w:eastAsia="Arial" w:hAnsi="Arial" w:cs="Arial"/>
          <w:sz w:val="18"/>
          <w:szCs w:val="18"/>
        </w:rPr>
        <w:t>digital</w:t>
      </w:r>
      <w:proofErr w:type="spellEnd"/>
      <w:r>
        <w:rPr>
          <w:rFonts w:ascii="Arial" w:eastAsia="Arial" w:hAnsi="Arial" w:cs="Arial"/>
          <w:sz w:val="18"/>
          <w:szCs w:val="18"/>
        </w:rPr>
        <w:t xml:space="preserve"> oraz rozwoju i utrzymaniu produktów cyfrowych. W projektach łączy potencjał technologii mobilnych i </w:t>
      </w:r>
      <w:proofErr w:type="spellStart"/>
      <w:r>
        <w:rPr>
          <w:rFonts w:ascii="Arial" w:eastAsia="Arial" w:hAnsi="Arial" w:cs="Arial"/>
          <w:sz w:val="18"/>
          <w:szCs w:val="18"/>
        </w:rPr>
        <w:t>backendowych</w:t>
      </w:r>
      <w:proofErr w:type="spellEnd"/>
      <w:r>
        <w:rPr>
          <w:rFonts w:ascii="Arial" w:eastAsia="Arial" w:hAnsi="Arial" w:cs="Arial"/>
          <w:sz w:val="18"/>
          <w:szCs w:val="18"/>
        </w:rPr>
        <w:t xml:space="preserve"> z silnym zapleczem rozwiązań chmurowych, Data i AI. Współpraca z wyspecjalizowanymi partnerami technologicznymi z całego świata gwarantuje klientom najwyższą jakość w każdym projekcie. Tworzone przez ekspertów </w:t>
      </w:r>
      <w:proofErr w:type="spellStart"/>
      <w:r>
        <w:rPr>
          <w:rFonts w:ascii="Arial" w:eastAsia="Arial" w:hAnsi="Arial" w:cs="Arial"/>
          <w:sz w:val="18"/>
          <w:szCs w:val="18"/>
        </w:rPr>
        <w:t>Future</w:t>
      </w:r>
      <w:proofErr w:type="spellEnd"/>
      <w:r>
        <w:rPr>
          <w:rFonts w:ascii="Arial" w:eastAsia="Arial" w:hAnsi="Arial" w:cs="Arial"/>
          <w:sz w:val="18"/>
          <w:szCs w:val="18"/>
        </w:rPr>
        <w:t xml:space="preserve"> </w:t>
      </w:r>
      <w:proofErr w:type="spellStart"/>
      <w:r>
        <w:rPr>
          <w:rFonts w:ascii="Arial" w:eastAsia="Arial" w:hAnsi="Arial" w:cs="Arial"/>
          <w:sz w:val="18"/>
          <w:szCs w:val="18"/>
        </w:rPr>
        <w:t>Mind</w:t>
      </w:r>
      <w:proofErr w:type="spellEnd"/>
      <w:r>
        <w:rPr>
          <w:rFonts w:ascii="Arial" w:eastAsia="Arial" w:hAnsi="Arial" w:cs="Arial"/>
          <w:sz w:val="18"/>
          <w:szCs w:val="18"/>
        </w:rPr>
        <w:t xml:space="preserve"> rozwiązania były wielokrotnie doceniane w konkursach branżowych, a dynamiczny wzrost firmy został wyróżniony przez takie magazyny jak Forbes i Financial Times.</w:t>
      </w:r>
    </w:p>
    <w:p w14:paraId="31D00D6A" w14:textId="77777777" w:rsidR="00CF4730" w:rsidRPr="00E404D0" w:rsidRDefault="00000000">
      <w:pPr>
        <w:jc w:val="both"/>
        <w:rPr>
          <w:rFonts w:ascii="Arial" w:eastAsia="Arial" w:hAnsi="Arial" w:cs="Arial"/>
          <w:b/>
          <w:bCs/>
          <w:sz w:val="18"/>
          <w:szCs w:val="18"/>
          <w:lang w:val="en-GB"/>
        </w:rPr>
      </w:pPr>
      <w:proofErr w:type="spellStart"/>
      <w:r w:rsidRPr="00E404D0">
        <w:rPr>
          <w:rFonts w:ascii="Arial" w:eastAsia="Arial" w:hAnsi="Arial" w:cs="Arial"/>
          <w:sz w:val="18"/>
          <w:szCs w:val="18"/>
          <w:lang w:val="en-GB"/>
        </w:rPr>
        <w:t>Więcej</w:t>
      </w:r>
      <w:proofErr w:type="spellEnd"/>
      <w:r w:rsidRPr="00E404D0">
        <w:rPr>
          <w:rFonts w:ascii="Arial" w:eastAsia="Arial" w:hAnsi="Arial" w:cs="Arial"/>
          <w:sz w:val="18"/>
          <w:szCs w:val="18"/>
          <w:lang w:val="en-GB"/>
        </w:rPr>
        <w:t xml:space="preserve"> </w:t>
      </w:r>
      <w:proofErr w:type="spellStart"/>
      <w:r w:rsidRPr="00E404D0">
        <w:rPr>
          <w:rFonts w:ascii="Arial" w:eastAsia="Arial" w:hAnsi="Arial" w:cs="Arial"/>
          <w:sz w:val="18"/>
          <w:szCs w:val="18"/>
          <w:lang w:val="en-GB"/>
        </w:rPr>
        <w:t>na</w:t>
      </w:r>
      <w:proofErr w:type="spellEnd"/>
      <w:r w:rsidRPr="00E404D0">
        <w:rPr>
          <w:rFonts w:ascii="Arial" w:eastAsia="Arial" w:hAnsi="Arial" w:cs="Arial"/>
          <w:sz w:val="18"/>
          <w:szCs w:val="18"/>
          <w:lang w:val="en-GB"/>
        </w:rPr>
        <w:t xml:space="preserve"> </w:t>
      </w:r>
      <w:proofErr w:type="spellStart"/>
      <w:r w:rsidRPr="00E404D0">
        <w:rPr>
          <w:rFonts w:ascii="Arial" w:eastAsia="Arial" w:hAnsi="Arial" w:cs="Arial"/>
          <w:sz w:val="18"/>
          <w:szCs w:val="18"/>
          <w:lang w:val="en-GB"/>
        </w:rPr>
        <w:t>stronie</w:t>
      </w:r>
      <w:proofErr w:type="spellEnd"/>
      <w:r w:rsidRPr="00E404D0">
        <w:rPr>
          <w:rFonts w:ascii="Arial" w:eastAsia="Arial" w:hAnsi="Arial" w:cs="Arial"/>
          <w:sz w:val="18"/>
          <w:szCs w:val="18"/>
          <w:lang w:val="en-GB"/>
        </w:rPr>
        <w:t>:</w:t>
      </w:r>
      <w:r w:rsidRPr="00E404D0">
        <w:rPr>
          <w:rFonts w:ascii="Arial" w:eastAsia="Arial" w:hAnsi="Arial" w:cs="Arial"/>
          <w:b/>
          <w:bCs/>
          <w:sz w:val="18"/>
          <w:szCs w:val="18"/>
          <w:lang w:val="en-GB"/>
        </w:rPr>
        <w:t xml:space="preserve"> </w:t>
      </w:r>
      <w:hyperlink r:id="rId9">
        <w:r w:rsidR="00CF4730" w:rsidRPr="00E404D0">
          <w:rPr>
            <w:rFonts w:ascii="Arial" w:eastAsia="Arial" w:hAnsi="Arial" w:cs="Arial"/>
            <w:b/>
            <w:bCs/>
            <w:color w:val="0000FF"/>
            <w:sz w:val="18"/>
            <w:szCs w:val="18"/>
            <w:u w:val="single"/>
            <w:lang w:val="en-GB"/>
          </w:rPr>
          <w:t>Future Mind • Digital Advisory &amp; Delivery</w:t>
        </w:r>
      </w:hyperlink>
      <w:r w:rsidRPr="00E404D0">
        <w:rPr>
          <w:rFonts w:ascii="Arial" w:eastAsia="Arial" w:hAnsi="Arial" w:cs="Arial"/>
          <w:b/>
          <w:bCs/>
          <w:sz w:val="18"/>
          <w:szCs w:val="18"/>
          <w:lang w:val="en-GB"/>
        </w:rPr>
        <w:t xml:space="preserve"> </w:t>
      </w:r>
    </w:p>
    <w:p w14:paraId="159F6610" w14:textId="77777777" w:rsidR="00CF4730" w:rsidRPr="00E404D0" w:rsidRDefault="00000000">
      <w:pPr>
        <w:jc w:val="both"/>
        <w:rPr>
          <w:rFonts w:ascii="Arial" w:eastAsia="Arial" w:hAnsi="Arial" w:cs="Arial"/>
          <w:lang w:val="en-GB"/>
        </w:rPr>
      </w:pPr>
      <w:r w:rsidRPr="00E404D0">
        <w:rPr>
          <w:rFonts w:ascii="Arial" w:eastAsia="Arial" w:hAnsi="Arial" w:cs="Arial"/>
          <w:lang w:val="en-GB"/>
        </w:rPr>
        <w:br/>
      </w:r>
    </w:p>
    <w:p w14:paraId="1F1B4364" w14:textId="77777777" w:rsidR="00CF4730" w:rsidRPr="00E404D0" w:rsidRDefault="00CF4730">
      <w:pPr>
        <w:jc w:val="both"/>
        <w:rPr>
          <w:rFonts w:ascii="Arial" w:eastAsia="Arial" w:hAnsi="Arial" w:cs="Arial"/>
          <w:lang w:val="en-GB"/>
        </w:rPr>
      </w:pPr>
    </w:p>
    <w:sectPr w:rsidR="00CF4730" w:rsidRPr="00E404D0">
      <w:headerReference w:type="even" r:id="rId10"/>
      <w:headerReference w:type="default" r:id="rId11"/>
      <w:footerReference w:type="even" r:id="rId12"/>
      <w:footerReference w:type="default" r:id="rId13"/>
      <w:headerReference w:type="first" r:id="rId14"/>
      <w:footerReference w:type="first" r:id="rId15"/>
      <w:pgSz w:w="11906" w:h="16838"/>
      <w:pgMar w:top="1417" w:right="1417" w:bottom="1417"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D4C728" w14:textId="77777777" w:rsidR="001D2E37" w:rsidRDefault="001D2E37">
      <w:pPr>
        <w:spacing w:after="0" w:line="240" w:lineRule="auto"/>
      </w:pPr>
      <w:r>
        <w:separator/>
      </w:r>
    </w:p>
  </w:endnote>
  <w:endnote w:type="continuationSeparator" w:id="0">
    <w:p w14:paraId="59638C2A" w14:textId="77777777" w:rsidR="001D2E37" w:rsidRDefault="001D2E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2C9FB116-3AAC-4B6C-A4CD-844C210575C4}"/>
    <w:embedItalic r:id="rId2" w:fontKey="{9539E025-7BBC-45E8-9931-5852F1DAE9A4}"/>
  </w:font>
  <w:font w:name="Play">
    <w:charset w:val="00"/>
    <w:family w:val="auto"/>
    <w:pitch w:val="default"/>
    <w:embedRegular r:id="rId3" w:fontKey="{32D5586D-8F7D-4151-98A9-286C6937F2B2}"/>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4" w:fontKey="{ADD70F0D-A8B8-49F0-A72A-9F1D7D855C16}"/>
  </w:font>
  <w:font w:name="Cambria">
    <w:panose1 w:val="02040503050406030204"/>
    <w:charset w:val="EE"/>
    <w:family w:val="roman"/>
    <w:pitch w:val="variable"/>
    <w:sig w:usb0="E00006FF" w:usb1="420024FF" w:usb2="02000000" w:usb3="00000000" w:csb0="0000019F" w:csb1="00000000"/>
    <w:embedRegular r:id="rId5" w:fontKey="{BD45F2A4-F358-4804-9D21-E1009615C94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11EADD" w14:textId="77777777" w:rsidR="00CF4730" w:rsidRDefault="00CF4730">
    <w:pPr>
      <w:pBdr>
        <w:top w:val="nil"/>
        <w:left w:val="nil"/>
        <w:bottom w:val="nil"/>
        <w:right w:val="nil"/>
        <w:between w:val="nil"/>
      </w:pBdr>
      <w:tabs>
        <w:tab w:val="center" w:pos="4536"/>
        <w:tab w:val="right" w:pos="9072"/>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B71221" w14:textId="77777777" w:rsidR="00CF4730" w:rsidRDefault="00CF4730">
    <w:pPr>
      <w:pBdr>
        <w:top w:val="nil"/>
        <w:left w:val="nil"/>
        <w:bottom w:val="nil"/>
        <w:right w:val="nil"/>
        <w:between w:val="nil"/>
      </w:pBdr>
      <w:tabs>
        <w:tab w:val="center" w:pos="4536"/>
        <w:tab w:val="right" w:pos="9072"/>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B3A361" w14:textId="77777777" w:rsidR="00CF4730" w:rsidRDefault="00CF4730">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71DF35" w14:textId="77777777" w:rsidR="001D2E37" w:rsidRDefault="001D2E37">
      <w:pPr>
        <w:spacing w:after="0" w:line="240" w:lineRule="auto"/>
      </w:pPr>
      <w:r>
        <w:separator/>
      </w:r>
    </w:p>
  </w:footnote>
  <w:footnote w:type="continuationSeparator" w:id="0">
    <w:p w14:paraId="116CBBAE" w14:textId="77777777" w:rsidR="001D2E37" w:rsidRDefault="001D2E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7F7161" w14:textId="77777777" w:rsidR="00CF4730" w:rsidRDefault="00CF4730">
    <w:pPr>
      <w:pBdr>
        <w:top w:val="nil"/>
        <w:left w:val="nil"/>
        <w:bottom w:val="nil"/>
        <w:right w:val="nil"/>
        <w:between w:val="nil"/>
      </w:pBdr>
      <w:tabs>
        <w:tab w:val="center" w:pos="4536"/>
        <w:tab w:val="right" w:pos="9072"/>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8FAEA1" w14:textId="77777777" w:rsidR="00CF4730" w:rsidRDefault="00000000">
    <w:pPr>
      <w:pBdr>
        <w:top w:val="nil"/>
        <w:left w:val="nil"/>
        <w:bottom w:val="nil"/>
        <w:right w:val="nil"/>
        <w:between w:val="nil"/>
      </w:pBdr>
      <w:tabs>
        <w:tab w:val="center" w:pos="4536"/>
        <w:tab w:val="right" w:pos="9072"/>
      </w:tabs>
      <w:spacing w:after="0" w:line="240" w:lineRule="auto"/>
      <w:rPr>
        <w:color w:val="000000"/>
      </w:rPr>
    </w:pPr>
    <w:r>
      <w:rPr>
        <w:rFonts w:ascii="Calibri" w:eastAsia="Calibri" w:hAnsi="Calibri" w:cs="Calibri"/>
        <w:noProof/>
        <w:color w:val="000000"/>
      </w:rPr>
      <w:drawing>
        <wp:anchor distT="0" distB="0" distL="114300" distR="114300" simplePos="0" relativeHeight="251658240" behindDoc="0" locked="0" layoutInCell="1" hidden="0" allowOverlap="1" wp14:anchorId="4AC2A8EC" wp14:editId="28D7432C">
          <wp:simplePos x="0" y="0"/>
          <wp:positionH relativeFrom="margin">
            <wp:posOffset>3113188</wp:posOffset>
          </wp:positionH>
          <wp:positionV relativeFrom="margin">
            <wp:posOffset>-588500</wp:posOffset>
          </wp:positionV>
          <wp:extent cx="2973070" cy="358140"/>
          <wp:effectExtent l="0" t="0" r="0" b="0"/>
          <wp:wrapSquare wrapText="bothSides" distT="0" distB="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973070" cy="35814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124E23" w14:textId="77777777" w:rsidR="00CF4730" w:rsidRDefault="00CF4730">
    <w:pPr>
      <w:pBdr>
        <w:top w:val="nil"/>
        <w:left w:val="nil"/>
        <w:bottom w:val="nil"/>
        <w:right w:val="nil"/>
        <w:between w:val="nil"/>
      </w:pBdr>
      <w:tabs>
        <w:tab w:val="center" w:pos="4536"/>
        <w:tab w:val="right" w:pos="9072"/>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4730"/>
    <w:rsid w:val="001D2E37"/>
    <w:rsid w:val="005F2AEB"/>
    <w:rsid w:val="00C7608D"/>
    <w:rsid w:val="00CF4730"/>
    <w:rsid w:val="00E404D0"/>
    <w:rsid w:val="00E61512"/>
    <w:rsid w:val="00EB5E7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A5D90B"/>
  <w15:docId w15:val="{869E7A3E-831E-4F50-A604-77CCCFFDFC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360" w:after="80"/>
      <w:outlineLvl w:val="0"/>
    </w:pPr>
    <w:rPr>
      <w:rFonts w:ascii="Play" w:eastAsia="Play" w:hAnsi="Play" w:cs="Play"/>
      <w:color w:val="0F4761"/>
      <w:sz w:val="40"/>
      <w:szCs w:val="40"/>
    </w:rPr>
  </w:style>
  <w:style w:type="paragraph" w:styleId="Nagwek2">
    <w:name w:val="heading 2"/>
    <w:basedOn w:val="Normalny"/>
    <w:next w:val="Normalny"/>
    <w:uiPriority w:val="9"/>
    <w:semiHidden/>
    <w:unhideWhenUsed/>
    <w:qFormat/>
    <w:pPr>
      <w:keepNext/>
      <w:keepLines/>
      <w:spacing w:before="160" w:after="80"/>
      <w:outlineLvl w:val="1"/>
    </w:pPr>
    <w:rPr>
      <w:rFonts w:ascii="Play" w:eastAsia="Play" w:hAnsi="Play" w:cs="Play"/>
      <w:color w:val="0F4761"/>
      <w:sz w:val="32"/>
      <w:szCs w:val="32"/>
    </w:rPr>
  </w:style>
  <w:style w:type="paragraph" w:styleId="Nagwek3">
    <w:name w:val="heading 3"/>
    <w:basedOn w:val="Normalny"/>
    <w:next w:val="Normalny"/>
    <w:uiPriority w:val="9"/>
    <w:semiHidden/>
    <w:unhideWhenUsed/>
    <w:qFormat/>
    <w:pPr>
      <w:keepNext/>
      <w:keepLines/>
      <w:spacing w:before="160" w:after="80"/>
      <w:outlineLvl w:val="2"/>
    </w:pPr>
    <w:rPr>
      <w:color w:val="0F4761"/>
      <w:sz w:val="28"/>
      <w:szCs w:val="28"/>
    </w:rPr>
  </w:style>
  <w:style w:type="paragraph" w:styleId="Nagwek4">
    <w:name w:val="heading 4"/>
    <w:basedOn w:val="Normalny"/>
    <w:next w:val="Normalny"/>
    <w:uiPriority w:val="9"/>
    <w:semiHidden/>
    <w:unhideWhenUsed/>
    <w:qFormat/>
    <w:pPr>
      <w:keepNext/>
      <w:keepLines/>
      <w:spacing w:before="80" w:after="40"/>
      <w:outlineLvl w:val="3"/>
    </w:pPr>
    <w:rPr>
      <w:i/>
      <w:iCs/>
      <w:color w:val="0F4761"/>
    </w:rPr>
  </w:style>
  <w:style w:type="paragraph" w:styleId="Nagwek5">
    <w:name w:val="heading 5"/>
    <w:basedOn w:val="Normalny"/>
    <w:next w:val="Normalny"/>
    <w:uiPriority w:val="9"/>
    <w:semiHidden/>
    <w:unhideWhenUsed/>
    <w:qFormat/>
    <w:pPr>
      <w:keepNext/>
      <w:keepLines/>
      <w:spacing w:before="80" w:after="40"/>
      <w:outlineLvl w:val="4"/>
    </w:pPr>
    <w:rPr>
      <w:color w:val="0F4761"/>
    </w:rPr>
  </w:style>
  <w:style w:type="paragraph" w:styleId="Nagwek6">
    <w:name w:val="heading 6"/>
    <w:basedOn w:val="Normalny"/>
    <w:next w:val="Normalny"/>
    <w:uiPriority w:val="9"/>
    <w:semiHidden/>
    <w:unhideWhenUsed/>
    <w:qFormat/>
    <w:pPr>
      <w:keepNext/>
      <w:keepLines/>
      <w:spacing w:before="40" w:after="0"/>
      <w:outlineLvl w:val="5"/>
    </w:pPr>
    <w:rPr>
      <w:i/>
      <w:iCs/>
      <w:color w:val="595959"/>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uiPriority w:val="10"/>
    <w:qFormat/>
    <w:pPr>
      <w:spacing w:after="80" w:line="240" w:lineRule="auto"/>
    </w:pPr>
    <w:rPr>
      <w:rFonts w:ascii="Play" w:eastAsia="Play" w:hAnsi="Play" w:cs="Play"/>
      <w:sz w:val="56"/>
      <w:szCs w:val="56"/>
    </w:rPr>
  </w:style>
  <w:style w:type="paragraph" w:styleId="Podtytu">
    <w:name w:val="Subtitle"/>
    <w:basedOn w:val="Normalny"/>
    <w:next w:val="Normalny"/>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http://www.futuremind.com/"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8a011db4-53a2-4d1b-82ae-320485071b7a">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26332A36832A0A41A9315B265E6415BB" ma:contentTypeVersion="16" ma:contentTypeDescription="Utwórz nowy dokument." ma:contentTypeScope="" ma:versionID="15362d167d1f186bb14698692bc5f556">
  <xsd:schema xmlns:xsd="http://www.w3.org/2001/XMLSchema" xmlns:xs="http://www.w3.org/2001/XMLSchema" xmlns:p="http://schemas.microsoft.com/office/2006/metadata/properties" xmlns:ns2="8a011db4-53a2-4d1b-82ae-320485071b7a" xmlns:ns3="deeda2bc-8a38-4937-ba20-8ba6d0b056de" targetNamespace="http://schemas.microsoft.com/office/2006/metadata/properties" ma:root="true" ma:fieldsID="fcd0ad8a7d90daa0aca0a63894b55f5f" ns2:_="" ns3:_="">
    <xsd:import namespace="8a011db4-53a2-4d1b-82ae-320485071b7a"/>
    <xsd:import namespace="deeda2bc-8a38-4937-ba20-8ba6d0b056d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2:MediaServiceAutoKeyPoints" minOccurs="0"/>
                <xsd:element ref="ns2:MediaServiceKeyPoint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011db4-53a2-4d1b-82ae-320485071b7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Tagi obrazów" ma:readOnly="false" ma:fieldId="{5cf76f15-5ced-4ddc-b409-7134ff3c332f}" ma:taxonomyMulti="true" ma:sspId="8452cbc4-2314-4220-9d01-4e90849f7cdd" ma:termSetId="09814cd3-568e-fe90-9814-8d621ff8fb84" ma:anchorId="fba54fb3-c3e1-fe81-a776-ca4b69148c4d" ma:open="true" ma:isKeyword="false">
      <xsd:complexType>
        <xsd:sequence>
          <xsd:element ref="pc:Terms" minOccurs="0" maxOccurs="1"/>
        </xsd:sequence>
      </xsd:complex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eeda2bc-8a38-4937-ba20-8ba6d0b056de" elementFormDefault="qualified">
    <xsd:import namespace="http://schemas.microsoft.com/office/2006/documentManagement/types"/>
    <xsd:import namespace="http://schemas.microsoft.com/office/infopath/2007/PartnerControls"/>
    <xsd:element name="SharedWithUsers" ma:index="10"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Udostępnione dla — szczegóły"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FD6CC1C-66EE-4B69-A856-DBE26E123D3A}">
  <ds:schemaRefs>
    <ds:schemaRef ds:uri="http://schemas.microsoft.com/office/2006/metadata/properties"/>
    <ds:schemaRef ds:uri="http://schemas.microsoft.com/office/infopath/2007/PartnerControls"/>
    <ds:schemaRef ds:uri="8a011db4-53a2-4d1b-82ae-320485071b7a"/>
  </ds:schemaRefs>
</ds:datastoreItem>
</file>

<file path=customXml/itemProps2.xml><?xml version="1.0" encoding="utf-8"?>
<ds:datastoreItem xmlns:ds="http://schemas.openxmlformats.org/officeDocument/2006/customXml" ds:itemID="{A07A9C5B-1FCE-454B-B4B5-F702E4C1CAA0}">
  <ds:schemaRefs>
    <ds:schemaRef ds:uri="http://schemas.microsoft.com/sharepoint/v3/contenttype/forms"/>
  </ds:schemaRefs>
</ds:datastoreItem>
</file>

<file path=customXml/itemProps3.xml><?xml version="1.0" encoding="utf-8"?>
<ds:datastoreItem xmlns:ds="http://schemas.openxmlformats.org/officeDocument/2006/customXml" ds:itemID="{6D398A01-6A33-433A-9D33-BED5214BCC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a011db4-53a2-4d1b-82ae-320485071b7a"/>
    <ds:schemaRef ds:uri="deeda2bc-8a38-4937-ba20-8ba6d0b056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768</Words>
  <Characters>4823</Characters>
  <Application>Microsoft Office Word</Application>
  <DocSecurity>0</DocSecurity>
  <Lines>71</Lines>
  <Paragraphs>14</Paragraphs>
  <ScaleCrop>false</ScaleCrop>
  <Company/>
  <LinksUpToDate>false</LinksUpToDate>
  <CharactersWithSpaces>5592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Katarzyna Traczyk CCG</cp:lastModifiedBy>
  <cp:revision>4</cp:revision>
  <dcterms:created xsi:type="dcterms:W3CDTF">2026-01-26T14:25:00Z</dcterms:created>
  <dcterms:modified xsi:type="dcterms:W3CDTF">2026-01-27T06:59:00Z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0x01010026332A36832A0A41A9315B265E6415BB</vt:lpwstr>
  </property>
  <property fmtid="{D5CDD505-2E9C-101B-9397-08002B2CF9AE}" pid="3" name="MediaServiceImageTags">
    <vt:lpwstr>MediaServiceImageTags</vt:lpwstr>
  </property>
</Properties>
</file>