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2D6C" w14:textId="4E633B62" w:rsidR="00231E78" w:rsidRPr="00231E78" w:rsidRDefault="00231E78" w:rsidP="00231E78">
      <w:pPr>
        <w:spacing w:before="120" w:after="120" w:line="240" w:lineRule="auto"/>
        <w:rPr>
          <w:rFonts w:ascii="Noto Sans" w:eastAsia="Times New Roman" w:hAnsi="Noto Sans" w:cs="Noto Sans"/>
          <w:sz w:val="28"/>
          <w:szCs w:val="28"/>
          <w:lang w:val="fr-FR"/>
        </w:rPr>
      </w:pPr>
      <w:r w:rsidRPr="00231E78">
        <w:rPr>
          <w:rFonts w:ascii="Noto Sans" w:eastAsia="Times New Roman" w:hAnsi="Noto Sans" w:cs="Noto Sans"/>
          <w:b/>
          <w:bCs/>
          <w:sz w:val="28"/>
          <w:szCs w:val="28"/>
          <w:lang w:val="fr"/>
        </w:rPr>
        <w:t>Un calcul précis des coûts est essentiel à la rentabilité de l</w:t>
      </w:r>
      <w:r>
        <w:rPr>
          <w:rFonts w:ascii="Noto Sans" w:eastAsia="Times New Roman" w:hAnsi="Noto Sans" w:cs="Noto Sans"/>
          <w:b/>
          <w:bCs/>
          <w:sz w:val="28"/>
          <w:szCs w:val="28"/>
          <w:lang w:val="fr"/>
        </w:rPr>
        <w:t>’</w:t>
      </w:r>
      <w:r w:rsidRPr="00231E78">
        <w:rPr>
          <w:rFonts w:ascii="Noto Sans" w:eastAsia="Times New Roman" w:hAnsi="Noto Sans" w:cs="Noto Sans"/>
          <w:b/>
          <w:bCs/>
          <w:sz w:val="28"/>
          <w:szCs w:val="28"/>
          <w:lang w:val="fr"/>
        </w:rPr>
        <w:t>impression numérique pour étiquettes</w:t>
      </w:r>
    </w:p>
    <w:p w14:paraId="6BA977E0" w14:textId="5E31D59E"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i/>
          <w:iCs/>
          <w:sz w:val="22"/>
          <w:lang w:val="fr"/>
        </w:rPr>
        <w:t xml:space="preserve">En matière d’impression d’étiquettes, il n'existe pas de travail </w:t>
      </w:r>
      <w:r>
        <w:rPr>
          <w:rFonts w:ascii="Noto Sans" w:eastAsia="Times New Roman" w:hAnsi="Noto Sans" w:cs="Noto Sans"/>
          <w:i/>
          <w:iCs/>
          <w:sz w:val="22"/>
          <w:lang w:val="fr"/>
        </w:rPr>
        <w:t>"</w:t>
      </w:r>
      <w:r w:rsidRPr="00231E78">
        <w:rPr>
          <w:rFonts w:ascii="Noto Sans" w:eastAsia="Times New Roman" w:hAnsi="Noto Sans" w:cs="Noto Sans"/>
          <w:i/>
          <w:iCs/>
          <w:sz w:val="22"/>
          <w:lang w:val="fr"/>
        </w:rPr>
        <w:t>moyen". Chaque étiquette diffère en termes de conception, de substrat, de couverture d’encre et de configuration d’impression. Pourtant, de nombreux transformateurs d’étiquettes négligent encore cette complexité et s'appuient sur des modèles de tarification basés sur la moyenne. Le résultat ? Des devis erronés qui érodent les marges, retardent les décisions et affaiblissent la confiance des clients.</w:t>
      </w:r>
    </w:p>
    <w:p w14:paraId="5F68BF17"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i/>
          <w:iCs/>
          <w:sz w:val="22"/>
          <w:lang w:val="fr"/>
        </w:rPr>
        <w:t>Michael Matthews, Product Manager chez Domino Printing Sciences (Domino), explique comment un calcul des coûts précis et en temps voulu favorise la rentabilité et fournit des conseils pratiques pour aider les transformateurs d’étiquettes à rester compétitifs.</w:t>
      </w:r>
    </w:p>
    <w:p w14:paraId="5077B2CA"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b/>
          <w:bCs/>
          <w:sz w:val="22"/>
          <w:lang w:val="fr"/>
        </w:rPr>
        <w:t>Le calcul précis des coûts d’étiquette est important</w:t>
      </w:r>
    </w:p>
    <w:p w14:paraId="1B12DCA1" w14:textId="7780A222"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La précision des devis est cruciale pour la rentabilité. L</w:t>
      </w:r>
      <w:r>
        <w:rPr>
          <w:rFonts w:ascii="Noto Sans" w:eastAsia="Times New Roman" w:hAnsi="Noto Sans" w:cs="Noto Sans"/>
          <w:sz w:val="22"/>
          <w:lang w:val="fr"/>
        </w:rPr>
        <w:t>’</w:t>
      </w:r>
      <w:r w:rsidRPr="00231E78">
        <w:rPr>
          <w:rFonts w:ascii="Noto Sans" w:eastAsia="Times New Roman" w:hAnsi="Noto Sans" w:cs="Noto Sans"/>
          <w:sz w:val="22"/>
          <w:lang w:val="fr"/>
        </w:rPr>
        <w:t>augmentation des tirages courts nécessitant une réponse rapide implique que les transformateurs doivent donner à leurs équipes commerciales un accès rapide à des informations précises.</w:t>
      </w:r>
    </w:p>
    <w:p w14:paraId="3DA6DFE2"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Comment une entreprise peut-elle proposer une remise en toute confiance sans connaître le coût exact de production d’une étiquette ? Ou promettre un délai de réalisation précis sans comprendre les différents modèles de coûts associés à chaque presse ?</w:t>
      </w:r>
    </w:p>
    <w:p w14:paraId="45E7C14F"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Un processus de devis efficace ne se limite pas à garantir une tarification rentable pour chaque projet : il constitue le fondement du succès commercial à long terme.</w:t>
      </w:r>
    </w:p>
    <w:p w14:paraId="66EFD63A"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b/>
          <w:bCs/>
          <w:sz w:val="22"/>
          <w:lang w:val="fr"/>
        </w:rPr>
        <w:t>Devis détaillés et spécifiques</w:t>
      </w:r>
    </w:p>
    <w:p w14:paraId="19FA69CE" w14:textId="6B4AAD25"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 xml:space="preserve">Il n’est pas simple d’obtenir des devis précis, en particulier lorsque les délais sont serrés. Les modèles de tarification basés sur la moyenne ne peuvent pas garantir la rentabilité en raison des fluctuations fréquentes des coûts de l’encre et du substrat. Les tarifs et la disponibilité des matériaux, par exemple, peuvent avoir un impact significatif sur les </w:t>
      </w:r>
      <w:hyperlink r:id="rId6" w:history="1">
        <w:r w:rsidRPr="00231E78">
          <w:rPr>
            <w:rFonts w:ascii="Noto Sans" w:eastAsia="Times New Roman" w:hAnsi="Noto Sans" w:cs="Noto Sans"/>
            <w:color w:val="0000EE"/>
            <w:sz w:val="22"/>
            <w:u w:val="single"/>
            <w:lang w:val="fr"/>
          </w:rPr>
          <w:t>coûts des consommables par étiquette</w:t>
        </w:r>
      </w:hyperlink>
      <w:r w:rsidRPr="00231E78">
        <w:rPr>
          <w:rFonts w:ascii="Noto Sans" w:eastAsia="Times New Roman" w:hAnsi="Noto Sans" w:cs="Noto Sans"/>
          <w:sz w:val="22"/>
          <w:lang w:val="fr"/>
        </w:rPr>
        <w:t>.</w:t>
      </w:r>
    </w:p>
    <w:p w14:paraId="36B9CB8B"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Dans l’impression numérique, le coût de production d’une étiquette peut varier en fonction de la presse pour étiquettes spécifique utilisée. Des facteurs tels que la résolution d’impression et la taille des gouttelettes d’encre ont une incidence sur la consommation d’encre, et les prix des encres de couleur peuvent varier d’un fournisseur à l’autre, y compris au sein d’un même jeu d’encres. L’utilisation de l’encre peut également varier en fonction du substrat, car les substrats poreux nécessitent plus d’encre pour obtenir la couverture d’étiquette souhaitée.</w:t>
      </w:r>
    </w:p>
    <w:p w14:paraId="10C266D2"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Pour garantir que les nouvelles opportunités soient à la fois compétitives et rentables, les transformateurs d’étiquettes qui utilisent plusieurs presses numériques à jet d’encre, même chez le même fournisseur, doivent établir des devis en fonction de l’équipement numérique spécifique utilisé. Les changements de dernière minute, tels que le changement de presse lorsque la commande arrive, peuvent avoir une incidence sur les marges car les coûts risquent de s’écarter de l’estimation initiale.</w:t>
      </w:r>
    </w:p>
    <w:p w14:paraId="0CEF392B"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b/>
          <w:bCs/>
          <w:sz w:val="22"/>
          <w:lang w:val="fr"/>
        </w:rPr>
        <w:t>Devis basés sur les données  </w:t>
      </w:r>
    </w:p>
    <w:p w14:paraId="5070E6E9"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Le calcul précis des coûts est essentiel pour obtenir de nouveaux contrats rentables. Les outils numériques sur presse qui utilisent des informations actuelles et à jour permettent aux transformateurs de s’éloigner des modèles de facturation au clic, qui ont tendance à trop simplifier les coûts de production et peuvent entraîner une surfacturation de certains travaux et une sous-facturation d’autres. Une approche plus précise et basée sur les données consiste à calculer les coûts spécifiques à un travail en fonction de la consommation réelle d’encre et des profils des substrats, en s’appuyant sur les modèles tarifaires les plus récents.</w:t>
      </w:r>
    </w:p>
    <w:p w14:paraId="16574CA4"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La rapidité d’établissement des devis peut également être améliorée en enregistrant et en réutilisant les profils de travail sur la presse. Cela permet d’éliminer la nécessité de recalculer à partir de zéro, garantit la cohérence des prix et accélère le traitement des commandes répétitives.</w:t>
      </w:r>
    </w:p>
    <w:p w14:paraId="2E23FACF"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Les outils numériques permettent d’exploiter des données plus approfondies, transformant la précision des devis et garantissant que chaque négociation client reflète les exigences spécifiques en matière de délais et/ou de budget. Par exemple, les calculateurs de coût des travaux sur presse peuvent être utilisés pour évaluer les coûts de divers matériaux en fonction des coûts de substrat et des taux d’absorption d’encre. Bien qu’un substrat moins poreux puisse avoir un coût initial plus élevé, ce choix peut permettre de réaliser des économies d’encre qui réduisent le coût global de la production.</w:t>
      </w:r>
    </w:p>
    <w:p w14:paraId="355998C3" w14:textId="7DE1AFA6"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 xml:space="preserve">La planification basée sur les données peut également </w:t>
      </w:r>
      <w:hyperlink r:id="rId7" w:history="1">
        <w:r w:rsidRPr="00231E78">
          <w:rPr>
            <w:rFonts w:ascii="Noto Sans" w:eastAsia="Times New Roman" w:hAnsi="Noto Sans" w:cs="Noto Sans"/>
            <w:color w:val="0000EE"/>
            <w:sz w:val="22"/>
            <w:u w:val="single"/>
            <w:lang w:val="fr"/>
          </w:rPr>
          <w:t>améliorer l’efficacité opérationnelle</w:t>
        </w:r>
      </w:hyperlink>
      <w:r w:rsidRPr="00231E78">
        <w:rPr>
          <w:rFonts w:ascii="Noto Sans" w:eastAsia="Times New Roman" w:hAnsi="Noto Sans" w:cs="Noto Sans"/>
          <w:sz w:val="22"/>
          <w:lang w:val="fr"/>
        </w:rPr>
        <w:t>, par exemple, en minimisant le nombre de changements de matrice requis. La réduction de la variété des formes et des tailles d’étiquettes proposées peut simplifier l’établissement des coûts des tâches et contribuer à diminuer les coûts d’outillage.</w:t>
      </w:r>
    </w:p>
    <w:p w14:paraId="49464835"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b/>
          <w:bCs/>
          <w:sz w:val="22"/>
          <w:lang w:val="fr"/>
        </w:rPr>
        <w:t>Responsabiliser les équipes de vente</w:t>
      </w:r>
    </w:p>
    <w:p w14:paraId="284CEB27"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 xml:space="preserve">De manière cruciale, la technologie numérique élimine la dépendance vis-à-vis d’équipes dédiées d’estimateurs d’impression expérimentés, leur permettant ainsi de concentrer leurs efforts sur les applications </w:t>
      </w:r>
      <w:proofErr w:type="spellStart"/>
      <w:r w:rsidRPr="00231E78">
        <w:rPr>
          <w:rFonts w:ascii="Noto Sans" w:eastAsia="Times New Roman" w:hAnsi="Noto Sans" w:cs="Noto Sans"/>
          <w:sz w:val="22"/>
          <w:lang w:val="fr"/>
        </w:rPr>
        <w:t>flexographiques</w:t>
      </w:r>
      <w:proofErr w:type="spellEnd"/>
      <w:r w:rsidRPr="00231E78">
        <w:rPr>
          <w:rFonts w:ascii="Noto Sans" w:eastAsia="Times New Roman" w:hAnsi="Noto Sans" w:cs="Noto Sans"/>
          <w:sz w:val="22"/>
          <w:lang w:val="fr"/>
        </w:rPr>
        <w:t xml:space="preserve"> et hybrides en interne. La plupart des fournisseurs de presses numériques pour étiquettes intègrent dans leur flux de travail des calculateurs de coûts simples d’utilisation, permettant aux transformateurs d’étiquettes de générer des estimations de coûts pour les illustrations téléchargées sur leur presse entre les travaux. Le calculateur estime le nombre de gouttelettes d’encre par couleur et la longueur du substrat utilisé. Il calcule le devis de la tâche sur la base des coûts conservés dans le dossier, en incluant une charge fixe pour couvrir les frais généraux. </w:t>
      </w:r>
    </w:p>
    <w:p w14:paraId="29E5FF1A"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Certains fournisseurs proposent même leur calculateur sur presse en mode hors ligne, permettant aux équipes commerciales et d’estimation de générer des devis à distance, sans interrompre la production.</w:t>
      </w:r>
    </w:p>
    <w:p w14:paraId="77784A4E"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b/>
          <w:bCs/>
          <w:sz w:val="22"/>
          <w:lang w:val="fr"/>
        </w:rPr>
        <w:t>Conclusion</w:t>
      </w:r>
    </w:p>
    <w:p w14:paraId="5CC78593" w14:textId="77777777"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Sur le marché actuel, où le rythme est rapide et la sensibilité aux prix élevée, la précision des devis est une nécessité stratégique. C’est ce qui fait la différence entre préserver sa rentabilité et voir ses marges s’effriter. Entre gagner des clients réguliers ou en perdre au profit de concurrents plus rapides et plus sûrs d’eux.</w:t>
      </w:r>
    </w:p>
    <w:p w14:paraId="6D5C4053" w14:textId="16C6ADA0" w:rsidR="00231E78" w:rsidRPr="00231E78" w:rsidRDefault="00231E78" w:rsidP="00231E78">
      <w:pPr>
        <w:spacing w:before="120" w:after="120" w:line="240" w:lineRule="auto"/>
        <w:rPr>
          <w:rFonts w:ascii="Noto Sans" w:eastAsia="Times New Roman" w:hAnsi="Noto Sans" w:cs="Noto Sans"/>
          <w:sz w:val="22"/>
          <w:lang w:val="fr-FR"/>
        </w:rPr>
      </w:pPr>
      <w:r w:rsidRPr="00231E78">
        <w:rPr>
          <w:rFonts w:ascii="Noto Sans" w:eastAsia="Times New Roman" w:hAnsi="Noto Sans" w:cs="Noto Sans"/>
          <w:sz w:val="22"/>
          <w:lang w:val="fr"/>
        </w:rPr>
        <w:t xml:space="preserve">L’adoption </w:t>
      </w:r>
      <w:hyperlink r:id="rId8" w:history="1">
        <w:r w:rsidRPr="00231E78">
          <w:rPr>
            <w:rStyle w:val="Hyperlink"/>
            <w:rFonts w:ascii="Noto Sans" w:eastAsia="Times New Roman" w:hAnsi="Noto Sans" w:cs="Noto Sans"/>
            <w:sz w:val="22"/>
            <w:lang w:val="fr"/>
          </w:rPr>
          <w:t>d’outils basés sur les données</w:t>
        </w:r>
      </w:hyperlink>
      <w:r w:rsidRPr="00231E78">
        <w:rPr>
          <w:rFonts w:ascii="Noto Sans" w:eastAsia="Times New Roman" w:hAnsi="Noto Sans" w:cs="Noto Sans"/>
          <w:sz w:val="22"/>
          <w:lang w:val="fr"/>
        </w:rPr>
        <w:t xml:space="preserve"> et la responsabilisation de leurs équipes permettent aux transformateurs de non seulement protéger leurs marges, mais également de bâtir une entreprise plus intelligente, plus rapide et plus résiliente.</w:t>
      </w:r>
    </w:p>
    <w:p w14:paraId="09EF5200" w14:textId="77777777" w:rsidR="00231E78" w:rsidRDefault="00231E78" w:rsidP="003A1909">
      <w:pPr>
        <w:pStyle w:val="NoSpacing"/>
        <w:rPr>
          <w:rFonts w:ascii="Noto Sans" w:eastAsia="Gill Sans" w:hAnsi="Noto Sans" w:cs="Noto Sans"/>
          <w:szCs w:val="18"/>
          <w:lang w:val="fr-FR"/>
        </w:rPr>
      </w:pPr>
    </w:p>
    <w:p w14:paraId="3AB483D2" w14:textId="77777777" w:rsidR="00231E78" w:rsidRPr="00231E78" w:rsidRDefault="00231E78" w:rsidP="003A1909">
      <w:pPr>
        <w:pStyle w:val="NoSpacing"/>
        <w:rPr>
          <w:rFonts w:ascii="Noto Sans" w:eastAsia="Gill Sans" w:hAnsi="Noto Sans" w:cs="Noto Sans"/>
          <w:sz w:val="22"/>
          <w:lang w:val="fr-FR"/>
        </w:rPr>
      </w:pPr>
      <w:r w:rsidRPr="00231E78">
        <w:rPr>
          <w:rFonts w:ascii="Noto Sans" w:eastAsia="Gill Sans" w:hAnsi="Noto Sans" w:cs="Noto Sans"/>
          <w:sz w:val="22"/>
          <w:lang w:val="fr-FR"/>
        </w:rPr>
        <w:t>FIN</w:t>
      </w:r>
    </w:p>
    <w:p w14:paraId="42FFDE4F" w14:textId="0ECCF006" w:rsidR="003A1909" w:rsidRPr="00860ECF" w:rsidRDefault="00D66051" w:rsidP="003A1909">
      <w:pPr>
        <w:pStyle w:val="NoSpacing"/>
        <w:rPr>
          <w:rFonts w:ascii="Noto Sans" w:hAnsi="Noto Sans" w:cs="Noto Sans"/>
          <w:lang w:val="fr-FR"/>
        </w:rPr>
      </w:pPr>
      <w:r w:rsidRPr="003A1909">
        <w:rPr>
          <w:rFonts w:ascii="Noto Sans" w:eastAsia="Gill Sans" w:hAnsi="Noto Sans" w:cs="Noto Sans"/>
          <w:szCs w:val="18"/>
          <w:lang w:val="fr-FR"/>
        </w:rPr>
        <w:br/>
      </w:r>
      <w:bookmarkStart w:id="0" w:name="_Hlk46133219"/>
      <w:r w:rsidR="003A1909" w:rsidRPr="00860ECF">
        <w:rPr>
          <w:rFonts w:ascii="Noto Sans" w:eastAsia="Gill Sans" w:hAnsi="Noto Sans" w:cs="Noto Sans"/>
          <w:b/>
          <w:bCs/>
          <w:szCs w:val="18"/>
          <w:lang w:val="fr-FR"/>
        </w:rPr>
        <w:t>Avis de non-responsabilité</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hAnsi="Noto Sans" w:cs="Noto Sans"/>
          <w:b/>
          <w:bCs/>
          <w:szCs w:val="18"/>
          <w:lang w:val="fr-FR"/>
        </w:rPr>
        <w:t>Encres</w:t>
      </w:r>
      <w:r w:rsidR="003A1909" w:rsidRPr="00860ECF">
        <w:rPr>
          <w:rFonts w:ascii="Noto Sans" w:hAnsi="Noto Sans" w:cs="Noto Sans"/>
          <w:szCs w:val="18"/>
          <w:lang w:val="fr-FR"/>
        </w:rPr>
        <w:b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Généralités</w:t>
      </w:r>
      <w:r w:rsidR="003A1909" w:rsidRPr="00860ECF">
        <w:rPr>
          <w:rFonts w:ascii="Noto Sans" w:hAnsi="Noto Sans" w:cs="Noto Sans"/>
          <w:szCs w:val="18"/>
          <w:lang w:val="fr-FR"/>
        </w:rPr>
        <w:br/>
      </w:r>
      <w:r w:rsidR="00866525" w:rsidRPr="00866525">
        <w:rPr>
          <w:rFonts w:ascii="Noto Sans" w:hAnsi="Noto Sans" w:cs="Noto Sans"/>
          <w:szCs w:val="18"/>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003A1909" w:rsidRPr="00860ECF">
        <w:rPr>
          <w:rFonts w:ascii="Noto Sans" w:hAnsi="Noto Sans" w:cs="Noto Sans"/>
          <w:szCs w:val="18"/>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Images</w:t>
      </w:r>
      <w:r w:rsidR="003A1909" w:rsidRPr="00860ECF">
        <w:rPr>
          <w:rFonts w:ascii="Noto Sans" w:hAnsi="Noto Sans" w:cs="Noto Sans"/>
          <w:szCs w:val="18"/>
          <w:lang w:val="fr-FR"/>
        </w:rPr>
        <w:b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3A1909" w:rsidRPr="00860ECF">
        <w:rPr>
          <w:rFonts w:ascii="Noto Sans" w:hAnsi="Noto Sans" w:cs="Noto Sans"/>
          <w:b/>
          <w:bCs/>
          <w:szCs w:val="18"/>
          <w:lang w:val="fr-FR"/>
        </w:rPr>
        <w:t>Vidéos</w:t>
      </w:r>
      <w:r w:rsidR="003A1909" w:rsidRPr="00860ECF">
        <w:rPr>
          <w:rFonts w:ascii="Noto Sans" w:hAnsi="Noto Sans" w:cs="Noto Sans"/>
          <w:szCs w:val="18"/>
          <w:lang w:val="fr-FR"/>
        </w:rPr>
        <w:b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003A1909" w:rsidRPr="00860ECF">
        <w:rPr>
          <w:rFonts w:ascii="Noto Sans" w:hAnsi="Noto Sans" w:cs="Noto Sans"/>
          <w:szCs w:val="18"/>
          <w:lang w:val="fr-FR"/>
        </w:rPr>
        <w:br/>
      </w:r>
      <w:r w:rsidR="003A1909" w:rsidRPr="00860ECF">
        <w:rPr>
          <w:rFonts w:ascii="Noto Sans" w:eastAsia="Gill Sans" w:hAnsi="Noto Sans" w:cs="Noto Sans"/>
          <w:szCs w:val="18"/>
          <w:lang w:val="fr-FR"/>
        </w:rPr>
        <w:br/>
      </w:r>
      <w:bookmarkStart w:id="1" w:name="_Hlk61949672"/>
      <w:r w:rsidR="003A1909" w:rsidRPr="00860ECF">
        <w:rPr>
          <w:rFonts w:ascii="Noto Sans" w:eastAsia="Gill Sans" w:hAnsi="Noto Sans" w:cs="Noto Sans"/>
          <w:b/>
          <w:szCs w:val="18"/>
          <w:lang w:val="fr-FR"/>
        </w:rPr>
        <w:br/>
      </w:r>
      <w:r w:rsidR="003A1909" w:rsidRPr="00860ECF">
        <w:rPr>
          <w:rFonts w:ascii="Noto Sans" w:eastAsia="Gill Sans" w:hAnsi="Noto Sans" w:cs="Noto Sans"/>
          <w:b/>
          <w:bCs/>
          <w:szCs w:val="18"/>
          <w:lang w:val="fr-FR"/>
        </w:rPr>
        <w:t>Notes à l'attention des rédacteurs :</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À propos de Domino</w:t>
      </w:r>
      <w:r w:rsidR="003A1909" w:rsidRPr="00860ECF">
        <w:rPr>
          <w:rFonts w:ascii="Noto Sans" w:eastAsia="Gill Sans" w:hAnsi="Noto Sans" w:cs="Noto Sans"/>
          <w:b/>
          <w:szCs w:val="18"/>
          <w:lang w:val="fr-FR"/>
        </w:rPr>
        <w:br/>
      </w:r>
      <w:r w:rsidR="003A1909" w:rsidRPr="00860ECF">
        <w:rPr>
          <w:rFonts w:ascii="Noto Sans" w:eastAsia="Gill Sans" w:hAnsi="Noto Sans" w:cs="Noto Sans"/>
          <w:szCs w:val="18"/>
          <w:lang w:val="fr-FR"/>
        </w:rPr>
        <w:br/>
        <w:t>Digital Printing Solutions est une division de Domino Printing Sciences. Domino, fondée en 1978, s’est forgée une réputation internationale dans le développement et la fabrication de technologies d’impression jet d’encre numérique, ainsi que dans les produits complémentaires et le service à la clientèle. Ses services, destinés au secteur de l’impression commerciale, incluent des solutions d’impression jet d’encre numériques et des systèmes de contrôle conçus pour une gamme complète d’applications d’étiquetage et d’impression de données variables.</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Toutes les imprimantes Domino sont conçues pour répondre aux exigences de rapidité extrême et de haute qualité des environnements d’impression commerciale. Elles offrent de nouvelles fonctionnalités aux secteurs tels que l’étiquetage, les publications et l’impression de sécurité, l’impression transactionnelle, la transformation d’emballages, les cartes plastiques, les tickets, les cartes de jeux et les </w:t>
      </w:r>
      <w:r w:rsidR="003A1909" w:rsidRPr="00860ECF">
        <w:rPr>
          <w:rFonts w:ascii="Noto Sans" w:eastAsia="Gill Sans" w:hAnsi="Noto Sans" w:cs="Noto Sans"/>
          <w:szCs w:val="18"/>
          <w:lang w:val="fr-FR"/>
        </w:rPr>
        <w:lastRenderedPageBreak/>
        <w:t>formulaires, ainsi que les secteurs du publipostage et de la distribution de courrier.</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Depuis le 11 juin 2015, Domino est une division autonome de Brother Industries Ltd.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t xml:space="preserve">Pour plus d'informations sur Domino, veuillez consulter </w:t>
      </w:r>
      <w:hyperlink r:id="rId9" w:history="1">
        <w:r w:rsidR="003A1909" w:rsidRPr="00860ECF">
          <w:rPr>
            <w:rStyle w:val="Hyperlink"/>
            <w:rFonts w:ascii="Noto Sans" w:eastAsia="Gill Sans" w:hAnsi="Noto Sans" w:cs="Noto Sans"/>
            <w:szCs w:val="18"/>
            <w:lang w:val="fr-FR"/>
          </w:rPr>
          <w:t>www.domino-printing.com</w:t>
        </w:r>
      </w:hyperlink>
      <w:r w:rsidR="003A1909" w:rsidRPr="00860ECF">
        <w:rPr>
          <w:rFonts w:ascii="Noto Sans" w:eastAsia="Gill Sans" w:hAnsi="Noto Sans" w:cs="Noto Sans"/>
          <w:szCs w:val="18"/>
          <w:lang w:val="fr-FR"/>
        </w:rPr>
        <w:t xml:space="preserve"> </w:t>
      </w:r>
      <w:r w:rsidR="003A1909" w:rsidRPr="00860ECF">
        <w:rPr>
          <w:rFonts w:ascii="Noto Sans" w:eastAsia="Gill Sans" w:hAnsi="Noto Sans" w:cs="Noto Sans"/>
          <w:szCs w:val="18"/>
          <w:lang w:val="fr-FR"/>
        </w:rPr>
        <w:br/>
      </w:r>
      <w:r w:rsidR="003A1909" w:rsidRPr="00860ECF">
        <w:rPr>
          <w:rFonts w:ascii="Noto Sans" w:eastAsia="Gill Sans" w:hAnsi="Noto Sans" w:cs="Noto Sans"/>
          <w:szCs w:val="18"/>
          <w:lang w:val="fr-FR"/>
        </w:rPr>
        <w:br/>
      </w:r>
      <w:r w:rsidR="003A1909" w:rsidRPr="00860ECF">
        <w:rPr>
          <w:rFonts w:ascii="Noto Sans" w:eastAsia="Gill Sans" w:hAnsi="Noto Sans" w:cs="Noto Sans"/>
          <w:b/>
          <w:bCs/>
          <w:szCs w:val="18"/>
          <w:lang w:val="fr-FR"/>
        </w:rPr>
        <w:t>Pour de plus amples renseignements, veuillez contacter :</w:t>
      </w:r>
      <w:r w:rsidR="003A1909" w:rsidRPr="00860ECF">
        <w:rPr>
          <w:rFonts w:ascii="Noto Sans" w:eastAsia="Gill Sans" w:hAnsi="Noto Sans" w:cs="Noto Sans"/>
          <w:b/>
          <w:szCs w:val="18"/>
          <w:lang w:val="fr-FR"/>
        </w:rPr>
        <w:br/>
      </w:r>
      <w:r w:rsidR="003A1909" w:rsidRPr="00860ECF">
        <w:rPr>
          <w:rFonts w:ascii="Noto Sans" w:eastAsia="Gill Sans" w:hAnsi="Noto Sans" w:cs="Noto Sans"/>
          <w:b/>
          <w:szCs w:val="18"/>
          <w:lang w:val="fr-FR"/>
        </w:rPr>
        <w:br/>
      </w:r>
      <w:bookmarkEnd w:id="0"/>
      <w:bookmarkEnd w:id="1"/>
      <w:r w:rsidR="003A1909" w:rsidRPr="00860ECF">
        <w:rPr>
          <w:rFonts w:ascii="Noto Sans" w:hAnsi="Noto Sans" w:cs="Noto Sans"/>
          <w:szCs w:val="18"/>
          <w:lang w:val="fr-FR"/>
        </w:rPr>
        <w:t>Kathrin Farr</w:t>
      </w:r>
      <w:r w:rsidR="003A1909" w:rsidRPr="00860ECF">
        <w:rPr>
          <w:rFonts w:ascii="Noto Sans" w:hAnsi="Noto Sans" w:cs="Noto Sans"/>
          <w:szCs w:val="18"/>
          <w:lang w:val="fr-FR"/>
        </w:rPr>
        <w:br/>
        <w:t>Responsable du contenu et rédacteur d'impression numérique</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+44 (0) </w:t>
      </w:r>
      <w:hyperlink r:id="rId10" w:history="1">
        <w:r w:rsidR="003A1909" w:rsidRPr="00860ECF">
          <w:rPr>
            <w:rFonts w:ascii="Noto Sans" w:hAnsi="Noto Sans" w:cs="Noto Sans"/>
            <w:szCs w:val="18"/>
            <w:lang w:val="fr-FR"/>
          </w:rPr>
          <w:t>1954 782 551</w:t>
        </w:r>
      </w:hyperlink>
      <w:r w:rsidR="003A1909" w:rsidRPr="00860ECF">
        <w:rPr>
          <w:rFonts w:ascii="Noto Sans" w:hAnsi="Noto Sans" w:cs="Noto Sans"/>
          <w:szCs w:val="18"/>
          <w:lang w:val="fr-FR"/>
        </w:rPr>
        <w:br/>
      </w:r>
      <w:hyperlink r:id="rId11" w:history="1">
        <w:r w:rsidR="003A1909" w:rsidRPr="00860ECF">
          <w:rPr>
            <w:rStyle w:val="Hyperlink"/>
            <w:rFonts w:ascii="Noto Sans" w:hAnsi="Noto Sans" w:cs="Noto Sans"/>
            <w:szCs w:val="18"/>
            <w:lang w:val="fr-FR"/>
          </w:rPr>
          <w:t>Kathrin.Farr@domino-uk.com</w:t>
        </w:r>
      </w:hyperlink>
      <w:r w:rsidR="003A1909" w:rsidRPr="00860ECF">
        <w:rPr>
          <w:rFonts w:ascii="Noto Sans" w:hAnsi="Noto Sans" w:cs="Noto Sans"/>
          <w:szCs w:val="18"/>
          <w:lang w:val="fr-FR"/>
        </w:rPr>
        <w:t xml:space="preserve"> </w:t>
      </w:r>
      <w:r w:rsidR="003A1909" w:rsidRPr="00860ECF">
        <w:rPr>
          <w:rFonts w:ascii="Noto Sans" w:hAnsi="Noto Sans" w:cs="Noto Sans"/>
          <w:szCs w:val="18"/>
          <w:lang w:val="fr-FR"/>
        </w:rPr>
        <w:br/>
      </w:r>
      <w:r w:rsidR="003A1909" w:rsidRPr="00860ECF">
        <w:rPr>
          <w:rFonts w:ascii="Noto Sans" w:hAnsi="Noto Sans" w:cs="Noto Sans"/>
          <w:szCs w:val="18"/>
          <w:lang w:val="fr-FR"/>
        </w:rPr>
        <w:br/>
      </w:r>
      <w:r w:rsidR="00CD2F96" w:rsidRPr="00CD2F96">
        <w:rPr>
          <w:rFonts w:ascii="Noto Sans" w:hAnsi="Noto Sans" w:cs="Noto Sans"/>
          <w:szCs w:val="18"/>
          <w:lang w:val="fr-FR"/>
        </w:rPr>
        <w:t>Alex Challinor</w:t>
      </w:r>
      <w:r w:rsidR="003A1909" w:rsidRPr="00860ECF">
        <w:rPr>
          <w:rFonts w:ascii="Noto Sans" w:hAnsi="Noto Sans" w:cs="Noto Sans"/>
          <w:szCs w:val="18"/>
          <w:lang w:val="fr-FR"/>
        </w:rPr>
        <w:br/>
        <w:t xml:space="preserve">Responsable des relations publiques </w:t>
      </w:r>
      <w:r w:rsidR="003A1909" w:rsidRPr="00860ECF">
        <w:rPr>
          <w:rFonts w:ascii="Noto Sans" w:hAnsi="Noto Sans" w:cs="Noto Sans"/>
          <w:szCs w:val="18"/>
          <w:lang w:val="fr-FR"/>
        </w:rPr>
        <w:br/>
        <w:t xml:space="preserve">Domino Printing Sciences </w:t>
      </w:r>
      <w:r w:rsidR="003A1909" w:rsidRPr="00860ECF">
        <w:rPr>
          <w:rFonts w:ascii="Noto Sans" w:hAnsi="Noto Sans" w:cs="Noto Sans"/>
          <w:szCs w:val="18"/>
          <w:lang w:val="fr-FR"/>
        </w:rPr>
        <w:br/>
        <w:t xml:space="preserve">Tél. : </w:t>
      </w:r>
      <w:r w:rsidR="00CD2F96" w:rsidRPr="00CD2F96">
        <w:rPr>
          <w:rFonts w:ascii="Noto Sans" w:hAnsi="Noto Sans" w:cs="Noto Sans"/>
          <w:szCs w:val="18"/>
          <w:lang w:val="fr-FR"/>
        </w:rPr>
        <w:t xml:space="preserve">+44 (0) </w:t>
      </w:r>
      <w:hyperlink r:id="rId12" w:history="1">
        <w:r w:rsidR="00CD2F96" w:rsidRPr="00CD2F96">
          <w:rPr>
            <w:rFonts w:ascii="Noto Sans" w:hAnsi="Noto Sans" w:cs="Noto Sans"/>
            <w:szCs w:val="18"/>
            <w:lang w:val="fr-FR"/>
          </w:rPr>
          <w:t>1954 782 551</w:t>
        </w:r>
      </w:hyperlink>
      <w:r w:rsidR="003A1909" w:rsidRPr="00860ECF">
        <w:rPr>
          <w:rFonts w:ascii="Noto Sans" w:hAnsi="Noto Sans" w:cs="Noto Sans"/>
          <w:szCs w:val="18"/>
          <w:lang w:val="fr-FR"/>
        </w:rPr>
        <w:br/>
      </w:r>
      <w:hyperlink r:id="rId13" w:history="1">
        <w:r w:rsidR="00CD2F96" w:rsidRPr="00CD2F96">
          <w:rPr>
            <w:rStyle w:val="Hyperlink"/>
            <w:rFonts w:ascii="Noto Sans" w:hAnsi="Noto Sans" w:cs="Noto Sans"/>
            <w:szCs w:val="18"/>
            <w:lang w:val="fr-FR"/>
          </w:rPr>
          <w:t>Alex.Challinor@domino-uk.co</w:t>
        </w:r>
        <w:r w:rsidR="003A1909" w:rsidRPr="00860ECF">
          <w:rPr>
            <w:rStyle w:val="Hyperlink"/>
            <w:rFonts w:ascii="Noto Sans" w:hAnsi="Noto Sans" w:cs="Noto Sans"/>
            <w:szCs w:val="18"/>
            <w:lang w:val="fr-FR"/>
          </w:rPr>
          <w:t>m</w:t>
        </w:r>
      </w:hyperlink>
      <w:r w:rsidR="003A1909" w:rsidRPr="00860ECF">
        <w:rPr>
          <w:rFonts w:ascii="Noto Sans" w:hAnsi="Noto Sans" w:cs="Noto Sans"/>
          <w:szCs w:val="18"/>
          <w:lang w:val="fr-FR"/>
        </w:rPr>
        <w:t xml:space="preserve"> </w:t>
      </w:r>
    </w:p>
    <w:sectPr w:rsidR="003A1909" w:rsidRPr="00860ECF"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603B" w14:textId="77777777" w:rsidR="003E5E49" w:rsidRDefault="003E5E49" w:rsidP="00785717">
      <w:pPr>
        <w:spacing w:line="240" w:lineRule="auto"/>
      </w:pPr>
      <w:r>
        <w:separator/>
      </w:r>
    </w:p>
  </w:endnote>
  <w:endnote w:type="continuationSeparator" w:id="0">
    <w:p w14:paraId="0F9D1F48" w14:textId="77777777" w:rsidR="003E5E49" w:rsidRDefault="003E5E49"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64E9"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8455" w14:textId="77777777" w:rsidR="00785717" w:rsidRDefault="000F6D00" w:rsidP="00785717">
    <w:pPr>
      <w:pStyle w:val="Footer"/>
    </w:pPr>
    <w:r>
      <w:rPr>
        <w:noProof/>
      </w:rPr>
      <w:drawing>
        <wp:anchor distT="0" distB="0" distL="114300" distR="114300" simplePos="0" relativeHeight="251659264" behindDoc="0" locked="0" layoutInCell="1" allowOverlap="1" wp14:anchorId="16E66F78" wp14:editId="214F1CB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730E902B" wp14:editId="10BDB81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0B0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052BC" w14:textId="77777777" w:rsidR="003E5E49" w:rsidRDefault="003E5E49" w:rsidP="00785717">
      <w:pPr>
        <w:spacing w:line="240" w:lineRule="auto"/>
      </w:pPr>
      <w:r>
        <w:separator/>
      </w:r>
    </w:p>
  </w:footnote>
  <w:footnote w:type="continuationSeparator" w:id="0">
    <w:p w14:paraId="32BE22F9" w14:textId="77777777" w:rsidR="003E5E49" w:rsidRDefault="003E5E49"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9DD"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B99" w14:textId="77777777" w:rsidR="000F6D00" w:rsidRDefault="002766D9">
    <w:pPr>
      <w:pStyle w:val="Header"/>
    </w:pPr>
    <w:r>
      <w:rPr>
        <w:noProof/>
      </w:rPr>
      <w:drawing>
        <wp:anchor distT="0" distB="0" distL="114300" distR="114300" simplePos="0" relativeHeight="251661312" behindDoc="0" locked="0" layoutInCell="1" allowOverlap="1" wp14:anchorId="5164AC61" wp14:editId="1E35F436">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33F34"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96"/>
    <w:rsid w:val="0002201E"/>
    <w:rsid w:val="000754FF"/>
    <w:rsid w:val="000F6D00"/>
    <w:rsid w:val="001D743C"/>
    <w:rsid w:val="002202E3"/>
    <w:rsid w:val="00231E78"/>
    <w:rsid w:val="00240801"/>
    <w:rsid w:val="002766D9"/>
    <w:rsid w:val="00372E92"/>
    <w:rsid w:val="003A1909"/>
    <w:rsid w:val="003E5E49"/>
    <w:rsid w:val="00511B16"/>
    <w:rsid w:val="005272B1"/>
    <w:rsid w:val="005524DB"/>
    <w:rsid w:val="005741C7"/>
    <w:rsid w:val="005E6C45"/>
    <w:rsid w:val="00647055"/>
    <w:rsid w:val="00660F46"/>
    <w:rsid w:val="00785717"/>
    <w:rsid w:val="00791A4F"/>
    <w:rsid w:val="008220B7"/>
    <w:rsid w:val="00823B77"/>
    <w:rsid w:val="00866525"/>
    <w:rsid w:val="008916A8"/>
    <w:rsid w:val="008B6461"/>
    <w:rsid w:val="008E5E0C"/>
    <w:rsid w:val="008F3E38"/>
    <w:rsid w:val="00931996"/>
    <w:rsid w:val="009A1716"/>
    <w:rsid w:val="009A1DEC"/>
    <w:rsid w:val="009B3F01"/>
    <w:rsid w:val="009D6280"/>
    <w:rsid w:val="00A34918"/>
    <w:rsid w:val="00AB11DA"/>
    <w:rsid w:val="00B23C3C"/>
    <w:rsid w:val="00B546C5"/>
    <w:rsid w:val="00BC7C15"/>
    <w:rsid w:val="00BD57F7"/>
    <w:rsid w:val="00C063FE"/>
    <w:rsid w:val="00C44603"/>
    <w:rsid w:val="00C541FE"/>
    <w:rsid w:val="00CD2F96"/>
    <w:rsid w:val="00CF1AD5"/>
    <w:rsid w:val="00D66051"/>
    <w:rsid w:val="00D71CD4"/>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89CA0"/>
  <w15:chartTrackingRefBased/>
  <w15:docId w15:val="{F54D16B6-98FA-4E21-9406-2C649AE9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controllers/sunrise-dfe?noredirect=true&amp;utm_medium=non-paid&amp;utm_source=onlinepublication&amp;utm_content=pr-smarter-quotes&amp;utm_campaign=2025-int-fr-Global-PR-DP-FY25-Q4" TargetMode="External"/><Relationship Id="rId13" Type="http://schemas.openxmlformats.org/officeDocument/2006/relationships/hyperlink" Target="mailto:Jade.Taylor-Salazar@domino-uk.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mino-printing.com/fr/blog/2025/the-right-press-for-the-job?utm_medium=non-paid&amp;utm_source=onlinepublication&amp;utm_content=pr-smarter-quotes&amp;utm_campaign=2025-int-fr-Global-PR-DP-FY25-Q4" TargetMode="External"/><Relationship Id="rId12" Type="http://schemas.openxmlformats.org/officeDocument/2006/relationships/hyperlink" Target="tel:+44%20(0)1954%20782%20551"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blog/2025/au-dela-du-cout-par-etiquette?utm_medium=non-paid&amp;utm_source=onlinepublication&amp;utm_content=pr-smarter-quotes&amp;utm_campaign=2025-int-fr-Global-PR-DP-FY25-Q4" TargetMode="External"/><Relationship Id="rId11" Type="http://schemas.openxmlformats.org/officeDocument/2006/relationships/hyperlink" Target="mailto:Kathrin.Farr@domino-uk.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tel:+44%20(0)1954%20782%20551"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Disclaimer FR Template - AC</Template>
  <TotalTime>4</TotalTime>
  <Pages>4</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2026-01-26T14:03:00Z</dcterms:created>
  <dcterms:modified xsi:type="dcterms:W3CDTF">2026-01-26T14:03:00Z</dcterms:modified>
</cp:coreProperties>
</file>