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B620" w14:textId="77777777" w:rsidR="00764C16" w:rsidRPr="00764C16" w:rsidRDefault="00764C16" w:rsidP="00764C16">
      <w:pPr>
        <w:spacing w:before="120" w:after="120" w:line="240" w:lineRule="auto"/>
        <w:rPr>
          <w:rFonts w:ascii="Noto Sans" w:eastAsia="Times New Roman" w:hAnsi="Noto Sans" w:cs="Noto Sans"/>
          <w:sz w:val="28"/>
          <w:szCs w:val="28"/>
          <w:lang w:val="nl-NL"/>
        </w:rPr>
      </w:pPr>
      <w:r w:rsidRPr="00764C16">
        <w:rPr>
          <w:rFonts w:ascii="Noto Sans" w:eastAsia="Times New Roman" w:hAnsi="Noto Sans" w:cs="Noto Sans"/>
          <w:b/>
          <w:bCs/>
          <w:sz w:val="28"/>
          <w:szCs w:val="28"/>
          <w:lang w:val="nl"/>
        </w:rPr>
        <w:t>Een nauwkeurige kostenberekening is essentieel voor de winstgevendheid van digitaal etiketprinten</w:t>
      </w:r>
    </w:p>
    <w:p w14:paraId="5D34F0A5"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i/>
          <w:iCs/>
          <w:sz w:val="22"/>
          <w:lang w:val="nl"/>
        </w:rPr>
        <w:t>Bij het printen van etiketten bestaat er niet zoiets als een "gemiddelde" taak. Elk etiket verschilt in ontwerp, substraat, inktdekking en persinstelling. Toch zien veel etiketconverters deze complexiteit nog steeds oer het hoofd en vertrouwen zij op prijsmodellen die zijn gebaseerd op gemiddelden. Het resultaat: onjuiste offertes die marges uithollen, beslissingen vertragen en het vertrouwen van klanten aantasten.</w:t>
      </w:r>
    </w:p>
    <w:p w14:paraId="5300D011"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i/>
          <w:iCs/>
          <w:sz w:val="22"/>
          <w:lang w:val="nl"/>
        </w:rPr>
        <w:t>Michael Matthews, Product Manager, Domino Printing Sciences (Domino), legt uit hoe een tijdige, nauwkeurige kostenberekening de winstgevendheid ondersteunt. Ook geeft hij praktische tips om te zorgen dat etiketconverters concurrerend blijven.</w:t>
      </w:r>
    </w:p>
    <w:p w14:paraId="613B0C1E"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b/>
          <w:bCs/>
          <w:sz w:val="22"/>
          <w:lang w:val="nl"/>
        </w:rPr>
        <w:t>Accurate kostenberekening voor etiketten is belangrijk</w:t>
      </w:r>
    </w:p>
    <w:p w14:paraId="314CC2FA"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Nauwkeurige offertes zijn essentieel voor winstgevendheid. Er zijn steeds meer korte printruns die een snelle respons vereisen. Dit betekent dat converters hun verkoopteams snelle toegang moeten geven tot accurate informatie.</w:t>
      </w:r>
    </w:p>
    <w:p w14:paraId="68E0AFC2"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Hoe kan een bedrijf met vertrouwen een korting aanbieden zonder te weten wat de exacte productiekosten van een etiket zijn? Of een specifieke doorlooptijd beloven zonder inzicht in de verschillende kostenmodellen van elke pers?</w:t>
      </w:r>
    </w:p>
    <w:p w14:paraId="0EC3957F"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Een effectief offerteproces zorgt niet alleen voor een winstgevende prijs voor elke opdracht: het is de basis voor zakelijk succes op de lange termijn.</w:t>
      </w:r>
    </w:p>
    <w:p w14:paraId="004AF1D2"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b/>
          <w:bCs/>
          <w:sz w:val="22"/>
          <w:lang w:val="nl"/>
        </w:rPr>
        <w:t>Gedetailleerde, specifieke offertes</w:t>
      </w:r>
    </w:p>
    <w:p w14:paraId="562BC01B" w14:textId="0210E14F"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 xml:space="preserve">Het is niet eenvoudig om accurate offertes te maken, vooral wanneer de tijd tikt. Prijsmodellen op basis van gemiddelden kunnen geen winstgevendheid garanderen vanwege frequente schommelingen in inkt- en substraatkosten. Zo kunnen de </w:t>
      </w:r>
      <w:hyperlink r:id="rId6" w:history="1">
        <w:r w:rsidRPr="00764C16">
          <w:rPr>
            <w:rFonts w:ascii="Noto Sans" w:eastAsia="Times New Roman" w:hAnsi="Noto Sans" w:cs="Noto Sans"/>
            <w:color w:val="0000EE"/>
            <w:sz w:val="22"/>
            <w:u w:val="single"/>
            <w:lang w:val="nl"/>
          </w:rPr>
          <w:t>kosten per label</w:t>
        </w:r>
      </w:hyperlink>
      <w:r w:rsidRPr="00764C16">
        <w:rPr>
          <w:rFonts w:ascii="Noto Sans" w:eastAsia="Times New Roman" w:hAnsi="Noto Sans" w:cs="Noto Sans"/>
          <w:sz w:val="22"/>
          <w:lang w:val="nl"/>
        </w:rPr>
        <w:t xml:space="preserve"> voor verbruiksartikelen aanzienlijk worden beïnvloed door tarieven en de beschikbaarheid van materialen.</w:t>
      </w:r>
    </w:p>
    <w:p w14:paraId="6775BC33"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Bij digitaal printen kunnen de productiekosten van een etiket variëren afhankelijk van de gebruikte labelpers. Factoren zoals printresolutie en de grootte van de inktdruppel beïnvloeden het inktverbruik, en de prijzen van kleureninkt kunnen per leverancier verschillen, zelfs binnen dezelfde inktset. Het inktverbruik kan ook verschillen afhankelijk van het substraat, omdat poreuze substraten meer inkt vereisen om de gewenste etiketdekking te bereiken.</w:t>
      </w:r>
    </w:p>
    <w:p w14:paraId="2AC1EA70"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Etiketconverters die meerdere digitale inkjetpersen gebruiken, zelfs van dezelfde leverancier, moeten offertes genereren op basis van de specifieke digitale apparatuur die wordt gebruikt om te zorgen dat nieuwe opdrachten zowel concurrerend als winstgevend zijn. Lastminute wijzigingen, zoals het wisselen van persen wanneer de bestelling binnenkomt, kunnen de marges beïnvloeden, omdat de kosten waarschijnlijk gaan afwijken van de oorspronkelijke schatting.</w:t>
      </w:r>
    </w:p>
    <w:p w14:paraId="6C4B9277"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b/>
          <w:bCs/>
          <w:sz w:val="22"/>
          <w:lang w:val="nl"/>
        </w:rPr>
        <w:t>Datagedreven offertes  </w:t>
      </w:r>
    </w:p>
    <w:p w14:paraId="2A3EDFE2"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Nauwkeurige kostenberekening is cruciaal voor het binnenhalen van nieuwe, winstgevende klanten. Digitale tools op de pers die actuele informatie gebruiken, stellen converters in staat van click-chargemodellen af te stappen. Deze modellen benaderen de productiekosten vaak te simplistisch, waardoor er voor bepaalde taken te veel en voor andere juist te weinig wordt gevraagd. Een nauwkeurigere, datagedreven aanpak maakt gebruik van taakspecifieke kostenberekeningen op basis van het werkelijke inktverbruik en substraatprofielen, evenals de recentste prijsmodellen.</w:t>
      </w:r>
    </w:p>
    <w:p w14:paraId="491FB64B"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De snelheid van het offerteproces kan ook worden verbeterd door taakprofielen op de pers op te slaan. Hierdoor voorkomt u dat u alles opnieuw moet berekenen, zorgt u voor consistente prijzen en verwerkt u terugkerende opdrachten sneller.</w:t>
      </w:r>
    </w:p>
    <w:p w14:paraId="60A1493D"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Digitale tools ontsluiten diepere gegevensinzichten voor een transformatie in de nauwkeurigheid van offertes. Ook zorgen ze ervoor dat bij elke onderhandeling met de klant rekening wordt gehouden met specifieke tijd- en/of budgetvereisten. Zo kunnen kostprijscalculators op de pers worden gebruikt om de kosten van verschillende materialen te beoordelen op basis van de verschillen in substraatkosten en inktabsorptie. Hoewel de vooraf te betalen kosten van een minder poreus substraat hoger kunnen zijn, kan dit inktbesparingen opleveren die de totale taakkosten verlagen.</w:t>
      </w:r>
    </w:p>
    <w:p w14:paraId="26839BE1" w14:textId="5DC70350"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 xml:space="preserve">Op inzichten gebaseerde planning </w:t>
      </w:r>
      <w:hyperlink r:id="rId7" w:history="1">
        <w:r w:rsidRPr="00764C16">
          <w:rPr>
            <w:rFonts w:ascii="Noto Sans" w:eastAsia="Times New Roman" w:hAnsi="Noto Sans" w:cs="Noto Sans"/>
            <w:color w:val="0000EE"/>
            <w:sz w:val="22"/>
            <w:u w:val="single"/>
            <w:lang w:val="nl"/>
          </w:rPr>
          <w:t>verhoogt ook de operationele efficiëntie</w:t>
        </w:r>
      </w:hyperlink>
      <w:r w:rsidRPr="00764C16">
        <w:rPr>
          <w:rFonts w:ascii="Noto Sans" w:eastAsia="Times New Roman" w:hAnsi="Noto Sans" w:cs="Noto Sans"/>
          <w:sz w:val="22"/>
          <w:lang w:val="nl"/>
        </w:rPr>
        <w:t>, bijvoorbeeld door het aantal vereiste stanswissels te minimaliseren. Het aanbieden van minder verschillende etiketvormen en -maten vereenvoudigt de kostprijsberekening en zorgt voor lagere toolingkosten.</w:t>
      </w:r>
    </w:p>
    <w:p w14:paraId="21FFBDBD"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b/>
          <w:bCs/>
          <w:sz w:val="22"/>
          <w:lang w:val="nl"/>
        </w:rPr>
        <w:t>Verkoopteams versterken</w:t>
      </w:r>
    </w:p>
    <w:p w14:paraId="6B1EBB92"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 xml:space="preserve">Een cruciale factor is dat digitale technologie een einde maakt aan de afhankelijkheid van speciale teams ervaren printcalculators. Dit betekent dat zij zich kunnen richten op de interne flexografische en hybride toepassingen. De meeste leveranciers van digitale labelpersen nemen gebruiksvriendelijke kostencalculators op in hun workflow, zodat etiketconverters kostenramingen kunnen maken voor artwork dat tussen taken naar de pers wordt geüpload. De calculator schat het aantal inktdruppels per kleur en de lengte van het gebruikte substraat, en berekent de taakraming op basis van de opgeslagen kosten, inclusief een vaste toeslag voor overheadkosten. </w:t>
      </w:r>
    </w:p>
    <w:p w14:paraId="150ECDEC"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Sommige leveranciers maken hun calculator op de pers zelfs offline beschikbaar. Dit stelt verkoop- en berekeningsteams in staat op afstand offertes te maken zonder de productie te onderbreken.</w:t>
      </w:r>
    </w:p>
    <w:p w14:paraId="73FE9034"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b/>
          <w:bCs/>
          <w:sz w:val="22"/>
          <w:lang w:val="nl"/>
        </w:rPr>
        <w:t>Conclusie</w:t>
      </w:r>
    </w:p>
    <w:p w14:paraId="07EF00F2" w14:textId="77777777"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In de snelle, prijsgevoelige markt van vandaag zijn nauwkeurige offertes een strategische must. Het is het verschil tussen een winstgevende en een uitgeholde marge. Tussen het binnenhalen van terugkerende opdrachten en het verliezen van klanten aan snellere, zelfverzekerdere concurrenten.</w:t>
      </w:r>
    </w:p>
    <w:p w14:paraId="770406AC" w14:textId="695E813E" w:rsidR="00764C16" w:rsidRPr="00764C16" w:rsidRDefault="00764C16" w:rsidP="00764C16">
      <w:pPr>
        <w:spacing w:before="120" w:after="120" w:line="240" w:lineRule="auto"/>
        <w:rPr>
          <w:rFonts w:ascii="Noto Sans" w:eastAsia="Times New Roman" w:hAnsi="Noto Sans" w:cs="Noto Sans"/>
          <w:sz w:val="22"/>
          <w:lang w:val="nl-NL"/>
        </w:rPr>
      </w:pPr>
      <w:r w:rsidRPr="00764C16">
        <w:rPr>
          <w:rFonts w:ascii="Noto Sans" w:eastAsia="Times New Roman" w:hAnsi="Noto Sans" w:cs="Noto Sans"/>
          <w:sz w:val="22"/>
          <w:lang w:val="nl"/>
        </w:rPr>
        <w:t xml:space="preserve">Het omarmen van </w:t>
      </w:r>
      <w:hyperlink r:id="rId8" w:history="1">
        <w:r w:rsidRPr="00764C16">
          <w:rPr>
            <w:rStyle w:val="Hyperlink"/>
            <w:rFonts w:ascii="Noto Sans" w:eastAsia="Times New Roman" w:hAnsi="Noto Sans" w:cs="Noto Sans"/>
            <w:sz w:val="22"/>
            <w:lang w:val="nl"/>
          </w:rPr>
          <w:t>datagedreven tools</w:t>
        </w:r>
      </w:hyperlink>
      <w:r w:rsidRPr="00764C16">
        <w:rPr>
          <w:rFonts w:ascii="Noto Sans" w:eastAsia="Times New Roman" w:hAnsi="Noto Sans" w:cs="Noto Sans"/>
          <w:sz w:val="22"/>
          <w:lang w:val="nl"/>
        </w:rPr>
        <w:t xml:space="preserve"> en het versterken van hun teams stelt converters niet alleen in staat om hun marges te beschermen, maar ook om een slimmer, sneller en veerkrachtiger bedrijf op te bouwen.</w:t>
      </w:r>
    </w:p>
    <w:p w14:paraId="60484F33" w14:textId="77777777" w:rsidR="00764C16" w:rsidRDefault="00764C16" w:rsidP="00B51122">
      <w:pPr>
        <w:spacing w:line="240" w:lineRule="auto"/>
        <w:rPr>
          <w:rFonts w:ascii="Noto Sans" w:eastAsia="Gill Sans" w:hAnsi="Noto Sans" w:cs="Noto Sans"/>
          <w:szCs w:val="18"/>
          <w:lang w:val="nl-NL"/>
        </w:rPr>
      </w:pPr>
    </w:p>
    <w:p w14:paraId="13570072" w14:textId="714C6C74" w:rsidR="00B51122" w:rsidRPr="00A62E09" w:rsidRDefault="00764C16" w:rsidP="00B51122">
      <w:pPr>
        <w:spacing w:line="240" w:lineRule="auto"/>
        <w:rPr>
          <w:rFonts w:ascii="Noto Sans" w:eastAsia="Gill Sans" w:hAnsi="Noto Sans" w:cs="Noto Sans"/>
          <w:b/>
          <w:bCs/>
          <w:szCs w:val="18"/>
          <w:lang w:val="nl"/>
        </w:rPr>
      </w:pPr>
      <w:r w:rsidRPr="00756796">
        <w:rPr>
          <w:rFonts w:ascii="Noto Sans" w:eastAsia="Gill Sans" w:hAnsi="Noto Sans" w:cs="Noto Sans"/>
          <w:sz w:val="22"/>
          <w:lang w:val="nl-NL"/>
        </w:rPr>
        <w:t>EINDE</w:t>
      </w:r>
      <w:r w:rsidR="00D66051" w:rsidRPr="00764C16">
        <w:rPr>
          <w:rFonts w:ascii="Noto Sans" w:eastAsia="Gill Sans" w:hAnsi="Noto Sans" w:cs="Noto Sans"/>
          <w:szCs w:val="18"/>
          <w:lang w:val="nl-NL"/>
        </w:rPr>
        <w:br/>
      </w:r>
      <w:r w:rsidR="00D66051" w:rsidRPr="00764C16">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0"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 xml:space="preserve">Bij Domino werken wereldwijd meer dan 3000 mensen. Wij zijn actief in ruim 120 landen via een wereldwijd netwerk van 29 dochterondernemingen en meer dan 200 distributeurs. De productiefaciliteiten </w:t>
      </w:r>
      <w:r w:rsidR="00B51122" w:rsidRPr="00A62E09">
        <w:rPr>
          <w:rFonts w:ascii="Noto Sans" w:eastAsia="Gill Sans" w:hAnsi="Noto Sans" w:cs="Noto Sans"/>
          <w:szCs w:val="18"/>
          <w:lang w:val="nl"/>
        </w:rPr>
        <w:lastRenderedPageBreak/>
        <w:t>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764C16">
        <w:rPr>
          <w:rFonts w:ascii="Noto Sans" w:eastAsia="Gill Sans" w:hAnsi="Noto Sans" w:cs="Noto Sans"/>
          <w:szCs w:val="18"/>
          <w:lang w:val="nl-NL"/>
        </w:rPr>
        <w:br/>
      </w:r>
      <w:r w:rsidR="00B51122" w:rsidRPr="00764C16">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9"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764C16">
        <w:rPr>
          <w:rFonts w:ascii="Noto Sans" w:eastAsia="Gill Sans" w:hAnsi="Noto Sans" w:cs="Noto Sans"/>
          <w:szCs w:val="18"/>
          <w:lang w:val="nl-NL"/>
        </w:rPr>
        <w:br/>
      </w:r>
      <w:r w:rsidR="00B51122" w:rsidRPr="00764C16">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0"/>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0"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1"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2"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2202E3"/>
    <w:rsid w:val="00240801"/>
    <w:rsid w:val="002766D9"/>
    <w:rsid w:val="003038E5"/>
    <w:rsid w:val="00372E92"/>
    <w:rsid w:val="003A1909"/>
    <w:rsid w:val="00511B16"/>
    <w:rsid w:val="005272B1"/>
    <w:rsid w:val="005524DB"/>
    <w:rsid w:val="005741C7"/>
    <w:rsid w:val="005E6C45"/>
    <w:rsid w:val="00647055"/>
    <w:rsid w:val="00660F46"/>
    <w:rsid w:val="00756796"/>
    <w:rsid w:val="00764C1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B23C3C"/>
    <w:rsid w:val="00B51122"/>
    <w:rsid w:val="00B546C5"/>
    <w:rsid w:val="00B85689"/>
    <w:rsid w:val="00B900E8"/>
    <w:rsid w:val="00BC7C15"/>
    <w:rsid w:val="00C063FE"/>
    <w:rsid w:val="00C44603"/>
    <w:rsid w:val="00C541FE"/>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F54D16B6-98FA-4E21-9406-2C649AE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controllers/sunrise-dfe?noredirect=true&amp;utm_medium=non-paid&amp;utm_source=onlinepublication&amp;utm_content=pr-smarter-quotes&amp;utm_campaign=2025-int-nl-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nl-nl/blog/2025/the-right-press-for-the-job?utm_medium=non-paid&amp;utm_source=onlinepublication&amp;utm_content=pr-smarter-quotes&amp;utm_campaign=2025-int-nl-Global-PR-DP-FY25-Q4"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nl-nl/blog/2025/verder-kijken-dan-de-kosten-per-etiket?utm_medium=non-paid&amp;utm_source=onlinepublication&amp;utm_content=pr-smarter-quotes&amp;utm_campaign=2025-int-nl-Global-PR-DP-FY25-Q4"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2026-01-26T13:52:00Z</dcterms:created>
  <dcterms:modified xsi:type="dcterms:W3CDTF">2026-01-26T13:52:00Z</dcterms:modified>
</cp:coreProperties>
</file>