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20D88" w14:textId="23648B0F" w:rsidR="009044FF" w:rsidRDefault="003E59CF" w:rsidP="009044FF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Biurowa Warszawa zakończyła rok na najwyższych obrotach</w:t>
      </w:r>
    </w:p>
    <w:p w14:paraId="65E8AB6B" w14:textId="40552892" w:rsidR="003E59CF" w:rsidRDefault="003E59CF" w:rsidP="00773AAB">
      <w:pPr>
        <w:spacing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</w:t>
      </w:r>
      <w:r w:rsidRPr="003E59CF">
        <w:rPr>
          <w:b/>
          <w:bCs/>
          <w:sz w:val="20"/>
          <w:szCs w:val="20"/>
        </w:rPr>
        <w:t xml:space="preserve">inał 2025 roku przyniósł na warszawskim rynku biurowym </w:t>
      </w:r>
      <w:r>
        <w:rPr>
          <w:b/>
          <w:bCs/>
          <w:sz w:val="20"/>
          <w:szCs w:val="20"/>
        </w:rPr>
        <w:t xml:space="preserve">nowy </w:t>
      </w:r>
      <w:r w:rsidRPr="003E59CF">
        <w:rPr>
          <w:b/>
          <w:bCs/>
          <w:sz w:val="20"/>
          <w:szCs w:val="20"/>
        </w:rPr>
        <w:t xml:space="preserve">rekord – w IV kwartale wynajęto blisko 310 tys. mkw., co jest najlepszym kwartalnym wynikiem w historii stolicy. </w:t>
      </w:r>
      <w:r w:rsidR="002001B8">
        <w:rPr>
          <w:b/>
          <w:bCs/>
          <w:sz w:val="20"/>
          <w:szCs w:val="20"/>
        </w:rPr>
        <w:t>Taki rezultat</w:t>
      </w:r>
      <w:r w:rsidRPr="003E59CF">
        <w:rPr>
          <w:b/>
          <w:bCs/>
          <w:sz w:val="20"/>
          <w:szCs w:val="20"/>
        </w:rPr>
        <w:t xml:space="preserve"> sprawił, że </w:t>
      </w:r>
      <w:r>
        <w:rPr>
          <w:b/>
          <w:bCs/>
          <w:sz w:val="20"/>
          <w:szCs w:val="20"/>
        </w:rPr>
        <w:t xml:space="preserve">popyt zanotował rok do roku 7% wzrost, a </w:t>
      </w:r>
      <w:r w:rsidRPr="003E59CF">
        <w:rPr>
          <w:b/>
          <w:bCs/>
          <w:sz w:val="20"/>
          <w:szCs w:val="20"/>
        </w:rPr>
        <w:t>dostępność biur w strefie centralnej stopniała do zaledwie 6,1%</w:t>
      </w:r>
      <w:r>
        <w:rPr>
          <w:b/>
          <w:bCs/>
          <w:sz w:val="20"/>
          <w:szCs w:val="20"/>
        </w:rPr>
        <w:t>. Co za tym idzie,</w:t>
      </w:r>
      <w:r w:rsidRPr="003E59CF">
        <w:rPr>
          <w:b/>
          <w:bCs/>
          <w:sz w:val="20"/>
          <w:szCs w:val="20"/>
        </w:rPr>
        <w:t xml:space="preserve"> czynsze w budynkach klasy premium wciąż pną się w górę. </w:t>
      </w:r>
      <w:r>
        <w:rPr>
          <w:b/>
          <w:bCs/>
          <w:sz w:val="20"/>
          <w:szCs w:val="20"/>
        </w:rPr>
        <w:t>Jak podkreślają eksperci międzynarodowej firmy doradczej Cushman &amp; Wakefield, w</w:t>
      </w:r>
      <w:r w:rsidRPr="003E59CF">
        <w:rPr>
          <w:b/>
          <w:bCs/>
          <w:sz w:val="20"/>
          <w:szCs w:val="20"/>
        </w:rPr>
        <w:t xml:space="preserve"> obliczu prognozowanej na 2026 rok skromnej podaży rzędu 75 tys. mkw., rynek wysyła najemcom jasny komunikat: czas na odważne decyzje to „teraz”.</w:t>
      </w:r>
    </w:p>
    <w:p w14:paraId="5779DF1A" w14:textId="1A3B5319" w:rsidR="002520B6" w:rsidRDefault="002520B6" w:rsidP="007830E7">
      <w:pPr>
        <w:spacing w:line="240" w:lineRule="auto"/>
        <w:jc w:val="both"/>
        <w:rPr>
          <w:sz w:val="20"/>
          <w:szCs w:val="20"/>
        </w:rPr>
      </w:pPr>
      <w:r w:rsidRPr="002520B6">
        <w:rPr>
          <w:b/>
          <w:bCs/>
          <w:sz w:val="20"/>
          <w:szCs w:val="20"/>
        </w:rPr>
        <w:t xml:space="preserve">PODAŻ: </w:t>
      </w:r>
      <w:r w:rsidR="003E59CF">
        <w:rPr>
          <w:b/>
          <w:bCs/>
          <w:sz w:val="20"/>
          <w:szCs w:val="20"/>
        </w:rPr>
        <w:t>nowe projekty wyłącznie w najatrakcyjniejszych lokalizacjach</w:t>
      </w:r>
    </w:p>
    <w:p w14:paraId="00AED2C0" w14:textId="7436CD97" w:rsidR="003E59CF" w:rsidRPr="003E59CF" w:rsidRDefault="003E59CF" w:rsidP="007830E7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Rok</w:t>
      </w:r>
      <w:r w:rsidRPr="003E59CF">
        <w:rPr>
          <w:sz w:val="20"/>
          <w:szCs w:val="20"/>
        </w:rPr>
        <w:t xml:space="preserve"> 2025 </w:t>
      </w:r>
      <w:r>
        <w:rPr>
          <w:sz w:val="20"/>
          <w:szCs w:val="20"/>
        </w:rPr>
        <w:t>zakończył się z zasobami</w:t>
      </w:r>
      <w:r w:rsidRPr="003E59CF">
        <w:rPr>
          <w:sz w:val="20"/>
          <w:szCs w:val="20"/>
        </w:rPr>
        <w:t xml:space="preserve"> powierzchni biurowej w Warszawie na poziomie 6,23 mln mkw. Według szacunków Cushman &amp; Wakefield rynek </w:t>
      </w:r>
      <w:r>
        <w:rPr>
          <w:sz w:val="20"/>
          <w:szCs w:val="20"/>
        </w:rPr>
        <w:t>ten</w:t>
      </w:r>
      <w:r w:rsidRPr="003E59CF">
        <w:rPr>
          <w:sz w:val="20"/>
          <w:szCs w:val="20"/>
        </w:rPr>
        <w:t xml:space="preserve"> może powiększyć się w 2026 roku jedynie o ok. 75 000 mkw. Większość</w:t>
      </w:r>
      <w:r>
        <w:rPr>
          <w:sz w:val="20"/>
          <w:szCs w:val="20"/>
        </w:rPr>
        <w:t xml:space="preserve">, bo aż </w:t>
      </w:r>
      <w:r w:rsidRPr="003E59CF">
        <w:rPr>
          <w:sz w:val="20"/>
          <w:szCs w:val="20"/>
        </w:rPr>
        <w:t xml:space="preserve">75% powierzchni planowanej do oddania w tym czasie znajduje się w strefie centralnej, z kolei poza centrum spodziewane jest ukończenie budynków </w:t>
      </w:r>
      <w:proofErr w:type="spellStart"/>
      <w:r w:rsidRPr="003E59CF">
        <w:rPr>
          <w:sz w:val="20"/>
          <w:szCs w:val="20"/>
        </w:rPr>
        <w:t>Vena</w:t>
      </w:r>
      <w:proofErr w:type="spellEnd"/>
      <w:r w:rsidRPr="003E59CF">
        <w:rPr>
          <w:sz w:val="20"/>
          <w:szCs w:val="20"/>
        </w:rPr>
        <w:t xml:space="preserve"> (PHN) oraz Puławska 533 (Forest Project).</w:t>
      </w:r>
    </w:p>
    <w:p w14:paraId="5D8358BE" w14:textId="17C9E48D" w:rsidR="00A462E8" w:rsidRPr="003E59CF" w:rsidRDefault="003E59CF" w:rsidP="007830E7">
      <w:pPr>
        <w:spacing w:line="240" w:lineRule="auto"/>
        <w:jc w:val="both"/>
        <w:rPr>
          <w:sz w:val="20"/>
          <w:szCs w:val="20"/>
        </w:rPr>
      </w:pPr>
      <w:r w:rsidRPr="003E59CF">
        <w:rPr>
          <w:i/>
          <w:iCs/>
          <w:sz w:val="20"/>
          <w:szCs w:val="20"/>
        </w:rPr>
        <w:t xml:space="preserve">– Ostatni kwartał minionego roku nie przyniósł zmiany w naszych prognozach na najbliższe lata. Wysokie koszty finansowania i budowy, dość ostrożne podejście firm do zmiany siedziby czy coraz mniejsza dostępność terenów w preferowanym obszarze centrum – te czynniki decydują o utrzymaniu się niskiego poziomu nowej podaży. Mimo to w centrum miasta, poza budową wieży biurowej </w:t>
      </w:r>
      <w:proofErr w:type="spellStart"/>
      <w:r w:rsidRPr="003E59CF">
        <w:rPr>
          <w:i/>
          <w:iCs/>
          <w:sz w:val="20"/>
          <w:szCs w:val="20"/>
        </w:rPr>
        <w:t>Skyliner</w:t>
      </w:r>
      <w:proofErr w:type="spellEnd"/>
      <w:r w:rsidRPr="003E59CF">
        <w:rPr>
          <w:i/>
          <w:iCs/>
          <w:sz w:val="20"/>
          <w:szCs w:val="20"/>
        </w:rPr>
        <w:t xml:space="preserve"> II (</w:t>
      </w:r>
      <w:proofErr w:type="spellStart"/>
      <w:r w:rsidRPr="003E59CF">
        <w:rPr>
          <w:i/>
          <w:iCs/>
          <w:sz w:val="20"/>
          <w:szCs w:val="20"/>
        </w:rPr>
        <w:t>Karimpol</w:t>
      </w:r>
      <w:proofErr w:type="spellEnd"/>
      <w:r w:rsidRPr="003E59CF">
        <w:rPr>
          <w:i/>
          <w:iCs/>
          <w:sz w:val="20"/>
          <w:szCs w:val="20"/>
        </w:rPr>
        <w:t>) oraz flagowego wieżowca Upper One (</w:t>
      </w:r>
      <w:proofErr w:type="spellStart"/>
      <w:r w:rsidRPr="003E59CF">
        <w:rPr>
          <w:i/>
          <w:iCs/>
          <w:sz w:val="20"/>
          <w:szCs w:val="20"/>
        </w:rPr>
        <w:t>Strabag</w:t>
      </w:r>
      <w:proofErr w:type="spellEnd"/>
      <w:r w:rsidRPr="003E59CF">
        <w:rPr>
          <w:i/>
          <w:iCs/>
          <w:sz w:val="20"/>
          <w:szCs w:val="20"/>
        </w:rPr>
        <w:t xml:space="preserve"> RE), rozpoczęła się również konstrukcja wysokościowego biurowca </w:t>
      </w:r>
      <w:proofErr w:type="spellStart"/>
      <w:r w:rsidRPr="003E59CF">
        <w:rPr>
          <w:i/>
          <w:iCs/>
          <w:sz w:val="20"/>
          <w:szCs w:val="20"/>
        </w:rPr>
        <w:t>Afi</w:t>
      </w:r>
      <w:proofErr w:type="spellEnd"/>
      <w:r w:rsidRPr="003E59CF">
        <w:rPr>
          <w:i/>
          <w:iCs/>
          <w:sz w:val="20"/>
          <w:szCs w:val="20"/>
        </w:rPr>
        <w:t xml:space="preserve"> Tower (</w:t>
      </w:r>
      <w:proofErr w:type="spellStart"/>
      <w:r w:rsidRPr="003E59CF">
        <w:rPr>
          <w:i/>
          <w:iCs/>
          <w:sz w:val="20"/>
          <w:szCs w:val="20"/>
        </w:rPr>
        <w:t>Afi</w:t>
      </w:r>
      <w:proofErr w:type="spellEnd"/>
      <w:r w:rsidRPr="003E59CF">
        <w:rPr>
          <w:i/>
          <w:iCs/>
          <w:sz w:val="20"/>
          <w:szCs w:val="20"/>
        </w:rPr>
        <w:t>/ Echo Investment). Dalsze planowane inwestycje obejmują prace nad II etapem kompleksu VIBE (</w:t>
      </w:r>
      <w:proofErr w:type="spellStart"/>
      <w:r w:rsidRPr="003E59CF">
        <w:rPr>
          <w:i/>
          <w:iCs/>
          <w:sz w:val="20"/>
          <w:szCs w:val="20"/>
        </w:rPr>
        <w:t>Ghelamco</w:t>
      </w:r>
      <w:proofErr w:type="spellEnd"/>
      <w:r w:rsidRPr="003E59CF">
        <w:rPr>
          <w:i/>
          <w:iCs/>
          <w:sz w:val="20"/>
          <w:szCs w:val="20"/>
        </w:rPr>
        <w:t xml:space="preserve">) oraz procesem wyburzania starszego biurowca przy ul. Prostej 69, na </w:t>
      </w:r>
      <w:proofErr w:type="gramStart"/>
      <w:r w:rsidRPr="003E59CF">
        <w:rPr>
          <w:i/>
          <w:iCs/>
          <w:sz w:val="20"/>
          <w:szCs w:val="20"/>
        </w:rPr>
        <w:t>miejscu</w:t>
      </w:r>
      <w:proofErr w:type="gramEnd"/>
      <w:r w:rsidRPr="003E59CF">
        <w:rPr>
          <w:i/>
          <w:iCs/>
          <w:sz w:val="20"/>
          <w:szCs w:val="20"/>
        </w:rPr>
        <w:t xml:space="preserve"> którego inwestor – spółka CPI – planuje realizację nowej inwestycji biurowej o nazwie </w:t>
      </w:r>
      <w:proofErr w:type="spellStart"/>
      <w:r w:rsidRPr="003E59CF">
        <w:rPr>
          <w:i/>
          <w:iCs/>
          <w:sz w:val="20"/>
          <w:szCs w:val="20"/>
        </w:rPr>
        <w:t>LightOn</w:t>
      </w:r>
      <w:proofErr w:type="spellEnd"/>
      <w:r w:rsidRPr="003E59CF">
        <w:rPr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 xml:space="preserve">– tłumaczy </w:t>
      </w:r>
      <w:proofErr w:type="spellStart"/>
      <w:r w:rsidR="00A462E8" w:rsidRPr="003B0F97">
        <w:rPr>
          <w:rFonts w:eastAsia="Times New Roman"/>
          <w:b/>
          <w:bCs/>
          <w:sz w:val="20"/>
          <w:szCs w:val="20"/>
          <w:lang w:eastAsia="en-US"/>
        </w:rPr>
        <w:t>Vitalii</w:t>
      </w:r>
      <w:proofErr w:type="spellEnd"/>
      <w:r w:rsidR="00A462E8" w:rsidRPr="003B0F97">
        <w:rPr>
          <w:rFonts w:eastAsia="Times New Roman"/>
          <w:b/>
          <w:bCs/>
          <w:sz w:val="20"/>
          <w:szCs w:val="20"/>
          <w:lang w:eastAsia="en-US"/>
        </w:rPr>
        <w:t xml:space="preserve"> Arkhypenko, Analityk Rynku, Cushman &amp; Wakefield</w:t>
      </w:r>
      <w:r w:rsidR="00A462E8" w:rsidRPr="003B0F97">
        <w:rPr>
          <w:rFonts w:eastAsia="Times New Roman"/>
          <w:sz w:val="20"/>
          <w:szCs w:val="20"/>
          <w:lang w:eastAsia="en-US"/>
        </w:rPr>
        <w:t>.</w:t>
      </w:r>
    </w:p>
    <w:p w14:paraId="3DA9C4EA" w14:textId="57042876" w:rsidR="00985CC6" w:rsidRDefault="00985CC6" w:rsidP="007830E7">
      <w:pPr>
        <w:spacing w:line="240" w:lineRule="auto"/>
        <w:jc w:val="both"/>
        <w:rPr>
          <w:sz w:val="20"/>
          <w:szCs w:val="20"/>
        </w:rPr>
      </w:pPr>
      <w:r w:rsidRPr="00985CC6">
        <w:rPr>
          <w:b/>
          <w:bCs/>
          <w:sz w:val="20"/>
          <w:szCs w:val="20"/>
        </w:rPr>
        <w:t>POPYT:</w:t>
      </w:r>
      <w:r w:rsidR="00CC64C7">
        <w:rPr>
          <w:b/>
          <w:bCs/>
          <w:sz w:val="20"/>
          <w:szCs w:val="20"/>
        </w:rPr>
        <w:t xml:space="preserve"> </w:t>
      </w:r>
      <w:r w:rsidR="005F30E1">
        <w:rPr>
          <w:b/>
          <w:bCs/>
          <w:sz w:val="20"/>
          <w:szCs w:val="20"/>
        </w:rPr>
        <w:t>rekord na finiszu roku</w:t>
      </w:r>
      <w:r w:rsidR="00CC64C7">
        <w:rPr>
          <w:b/>
          <w:bCs/>
          <w:sz w:val="20"/>
          <w:szCs w:val="20"/>
        </w:rPr>
        <w:t xml:space="preserve"> </w:t>
      </w:r>
    </w:p>
    <w:p w14:paraId="62AEC169" w14:textId="3B2F6CC7" w:rsidR="005F30E1" w:rsidRPr="005F30E1" w:rsidRDefault="005F30E1" w:rsidP="007830E7">
      <w:pPr>
        <w:spacing w:line="240" w:lineRule="auto"/>
        <w:jc w:val="both"/>
        <w:rPr>
          <w:sz w:val="20"/>
          <w:szCs w:val="20"/>
        </w:rPr>
      </w:pPr>
      <w:r w:rsidRPr="005F30E1">
        <w:rPr>
          <w:sz w:val="20"/>
          <w:szCs w:val="20"/>
        </w:rPr>
        <w:t xml:space="preserve">Całkowita aktywność najemców w 2025 roku wyniosła 794 100 mkw., co </w:t>
      </w:r>
      <w:r>
        <w:rPr>
          <w:sz w:val="20"/>
          <w:szCs w:val="20"/>
        </w:rPr>
        <w:t>oznacza wzrost r/r o ok. 7%</w:t>
      </w:r>
      <w:r w:rsidRPr="005F30E1">
        <w:rPr>
          <w:sz w:val="20"/>
          <w:szCs w:val="20"/>
        </w:rPr>
        <w:t xml:space="preserve">. Do takiego wyniku przyczynił się rekordowy popyt zaobserwowany w </w:t>
      </w:r>
      <w:r w:rsidR="007830E7">
        <w:rPr>
          <w:sz w:val="20"/>
          <w:szCs w:val="20"/>
        </w:rPr>
        <w:t>IV</w:t>
      </w:r>
      <w:r w:rsidRPr="005F30E1">
        <w:rPr>
          <w:sz w:val="20"/>
          <w:szCs w:val="20"/>
        </w:rPr>
        <w:t xml:space="preserve"> kwartale 2025</w:t>
      </w:r>
      <w:r w:rsidR="007830E7">
        <w:rPr>
          <w:sz w:val="20"/>
          <w:szCs w:val="20"/>
        </w:rPr>
        <w:t xml:space="preserve"> roku</w:t>
      </w:r>
      <w:r w:rsidRPr="005F30E1">
        <w:rPr>
          <w:sz w:val="20"/>
          <w:szCs w:val="20"/>
        </w:rPr>
        <w:t xml:space="preserve"> – 309 850 mkw. – największa wartość kwartalna zaobserwowana w Warszawie od początku prowadzenia statystyk.</w:t>
      </w:r>
    </w:p>
    <w:p w14:paraId="5B936091" w14:textId="07947C0D" w:rsidR="005F30E1" w:rsidRPr="005F30E1" w:rsidRDefault="005F30E1" w:rsidP="007830E7">
      <w:pPr>
        <w:spacing w:line="240" w:lineRule="auto"/>
        <w:jc w:val="both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 – </w:t>
      </w:r>
      <w:r w:rsidRPr="005F30E1">
        <w:rPr>
          <w:i/>
          <w:iCs/>
          <w:sz w:val="20"/>
          <w:szCs w:val="20"/>
        </w:rPr>
        <w:t xml:space="preserve">Chociaż w </w:t>
      </w:r>
      <w:r w:rsidR="00B148BF">
        <w:rPr>
          <w:i/>
          <w:iCs/>
          <w:sz w:val="20"/>
          <w:szCs w:val="20"/>
        </w:rPr>
        <w:t xml:space="preserve">I </w:t>
      </w:r>
      <w:proofErr w:type="spellStart"/>
      <w:r w:rsidR="00B148BF">
        <w:rPr>
          <w:i/>
          <w:iCs/>
          <w:sz w:val="20"/>
          <w:szCs w:val="20"/>
        </w:rPr>
        <w:t>i</w:t>
      </w:r>
      <w:proofErr w:type="spellEnd"/>
      <w:r w:rsidR="00B148BF">
        <w:rPr>
          <w:i/>
          <w:iCs/>
          <w:sz w:val="20"/>
          <w:szCs w:val="20"/>
        </w:rPr>
        <w:t xml:space="preserve"> </w:t>
      </w:r>
      <w:r w:rsidR="007830E7">
        <w:rPr>
          <w:i/>
          <w:iCs/>
          <w:sz w:val="20"/>
          <w:szCs w:val="20"/>
        </w:rPr>
        <w:t>III</w:t>
      </w:r>
      <w:r w:rsidRPr="005F30E1">
        <w:rPr>
          <w:i/>
          <w:iCs/>
          <w:sz w:val="20"/>
          <w:szCs w:val="20"/>
        </w:rPr>
        <w:t xml:space="preserve"> kwartale przeważały nowe umowy, to w ciągu całego ubiegłego roku struktura transakcji została zdominowana przez renegocjacje – 50%. Udział nowych umów z kolei wyniósł 40%, ekspansji 6%, a powierzchnia zajęta przez właściciela odpowiadała za 4% całości wynajętej powierzchni.</w:t>
      </w:r>
      <w:r>
        <w:rPr>
          <w:i/>
          <w:iCs/>
          <w:sz w:val="20"/>
          <w:szCs w:val="20"/>
        </w:rPr>
        <w:t xml:space="preserve"> </w:t>
      </w:r>
      <w:r w:rsidRPr="005F30E1">
        <w:rPr>
          <w:i/>
          <w:iCs/>
          <w:sz w:val="20"/>
          <w:szCs w:val="20"/>
        </w:rPr>
        <w:t>Z naszych obserwacji wynika, że do wzrostu zainteresowania powierzchnią biurową w Warszawie przyczynia się szybki rozwój centrów usług wspólnych, natomiast sektorami z potencjałem do wzrostu pozostają firmy z branży IT, bankowości, sektora publicznego oraz farmaceutyki</w:t>
      </w:r>
      <w:r>
        <w:rPr>
          <w:i/>
          <w:iCs/>
          <w:sz w:val="20"/>
          <w:szCs w:val="20"/>
        </w:rPr>
        <w:t xml:space="preserve"> – </w:t>
      </w:r>
      <w:r>
        <w:rPr>
          <w:sz w:val="20"/>
          <w:szCs w:val="20"/>
        </w:rPr>
        <w:t xml:space="preserve">wylicza </w:t>
      </w:r>
      <w:r w:rsidRPr="00F95AC5">
        <w:rPr>
          <w:b/>
          <w:bCs/>
          <w:sz w:val="20"/>
          <w:szCs w:val="20"/>
        </w:rPr>
        <w:t>Ewa Derlatka-</w:t>
      </w:r>
      <w:proofErr w:type="spellStart"/>
      <w:r w:rsidRPr="00F95AC5">
        <w:rPr>
          <w:b/>
          <w:bCs/>
          <w:sz w:val="20"/>
          <w:szCs w:val="20"/>
        </w:rPr>
        <w:t>Chilewicz</w:t>
      </w:r>
      <w:proofErr w:type="spellEnd"/>
      <w:r w:rsidRPr="00F95AC5">
        <w:rPr>
          <w:b/>
          <w:bCs/>
          <w:sz w:val="20"/>
          <w:szCs w:val="20"/>
        </w:rPr>
        <w:t xml:space="preserve">, </w:t>
      </w:r>
      <w:proofErr w:type="spellStart"/>
      <w:r w:rsidRPr="00F95AC5">
        <w:rPr>
          <w:b/>
          <w:bCs/>
          <w:sz w:val="20"/>
          <w:szCs w:val="20"/>
        </w:rPr>
        <w:t>Head</w:t>
      </w:r>
      <w:proofErr w:type="spellEnd"/>
      <w:r w:rsidRPr="00F95AC5">
        <w:rPr>
          <w:b/>
          <w:bCs/>
          <w:sz w:val="20"/>
          <w:szCs w:val="20"/>
        </w:rPr>
        <w:t xml:space="preserve"> of </w:t>
      </w:r>
      <w:proofErr w:type="spellStart"/>
      <w:r w:rsidRPr="00F95AC5">
        <w:rPr>
          <w:b/>
          <w:bCs/>
          <w:sz w:val="20"/>
          <w:szCs w:val="20"/>
        </w:rPr>
        <w:t>Research</w:t>
      </w:r>
      <w:proofErr w:type="spellEnd"/>
      <w:r w:rsidRPr="00F95AC5">
        <w:rPr>
          <w:b/>
          <w:bCs/>
          <w:sz w:val="20"/>
          <w:szCs w:val="20"/>
        </w:rPr>
        <w:t xml:space="preserve"> Poland</w:t>
      </w:r>
      <w:r w:rsidRPr="00F95AC5">
        <w:rPr>
          <w:sz w:val="20"/>
          <w:szCs w:val="20"/>
        </w:rPr>
        <w:t xml:space="preserve">, </w:t>
      </w:r>
      <w:r w:rsidRPr="00F95AC5">
        <w:rPr>
          <w:b/>
          <w:bCs/>
          <w:sz w:val="20"/>
          <w:szCs w:val="20"/>
        </w:rPr>
        <w:t>Cushman &amp; Wakefield.</w:t>
      </w:r>
    </w:p>
    <w:p w14:paraId="6686D18D" w14:textId="38129D1F" w:rsidR="005F30E1" w:rsidRPr="005F30E1" w:rsidRDefault="005F30E1" w:rsidP="007830E7">
      <w:pPr>
        <w:spacing w:line="240" w:lineRule="auto"/>
        <w:jc w:val="both"/>
        <w:rPr>
          <w:sz w:val="20"/>
          <w:szCs w:val="20"/>
        </w:rPr>
      </w:pPr>
      <w:r w:rsidRPr="005F30E1">
        <w:rPr>
          <w:sz w:val="20"/>
          <w:szCs w:val="20"/>
        </w:rPr>
        <w:t xml:space="preserve">Wśród transakcji zawartych w IV kwartale możemy wyróżnić renegocjację i ekspansję firmy Astra </w:t>
      </w:r>
      <w:proofErr w:type="spellStart"/>
      <w:r w:rsidRPr="005F30E1">
        <w:rPr>
          <w:sz w:val="20"/>
          <w:szCs w:val="20"/>
        </w:rPr>
        <w:t>Zeneca</w:t>
      </w:r>
      <w:proofErr w:type="spellEnd"/>
      <w:r w:rsidRPr="005F30E1">
        <w:rPr>
          <w:sz w:val="20"/>
          <w:szCs w:val="20"/>
        </w:rPr>
        <w:t xml:space="preserve"> w budynku przy Postępu 14 (22 500 mkw.), renegocjację Zarządu Transportu Miejskiego w budynku Fabryka PZO I (12 000 mkw.), a także nową umowę najmu Komendy Głównej Policji w budynku Lipowy Park (9 750 mkw.).</w:t>
      </w:r>
    </w:p>
    <w:p w14:paraId="5D220582" w14:textId="1B56127E" w:rsidR="005F30E1" w:rsidRPr="005F30E1" w:rsidRDefault="005F30E1" w:rsidP="007830E7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– </w:t>
      </w:r>
      <w:r w:rsidRPr="005F30E1">
        <w:rPr>
          <w:i/>
          <w:iCs/>
          <w:sz w:val="20"/>
          <w:szCs w:val="20"/>
        </w:rPr>
        <w:t>Warto zauważyć, że oprócz wzmożonego zainteresowania najemców strefą centralną, obserwujemy utrzymujący się popyt również poza centrum – w strefach Służewiec i Korytarz Jerozolimskich. Pozostają one dobrą i tańszą alternatywą zarówno dla dużych firm, w przypadku chęci utrzymania części działów, dla których lokalizacja jest mniej ważna jak i dla mniejszych podmiotów, działających w mniejszej skali lub dopiero wchodzących na rynek</w:t>
      </w:r>
      <w:r>
        <w:rPr>
          <w:sz w:val="20"/>
          <w:szCs w:val="20"/>
        </w:rPr>
        <w:t xml:space="preserve"> – dodaje </w:t>
      </w:r>
      <w:r w:rsidRPr="005F30E1">
        <w:rPr>
          <w:b/>
          <w:bCs/>
          <w:sz w:val="20"/>
          <w:szCs w:val="20"/>
        </w:rPr>
        <w:t>Ewa Derlatka-Chilewicz</w:t>
      </w:r>
      <w:r>
        <w:rPr>
          <w:sz w:val="20"/>
          <w:szCs w:val="20"/>
        </w:rPr>
        <w:t>.</w:t>
      </w:r>
    </w:p>
    <w:p w14:paraId="47C4C462" w14:textId="3D22773E" w:rsidR="005F30E1" w:rsidRPr="0095564E" w:rsidRDefault="005F30E1" w:rsidP="007830E7">
      <w:pPr>
        <w:spacing w:line="240" w:lineRule="auto"/>
        <w:jc w:val="both"/>
        <w:rPr>
          <w:sz w:val="20"/>
          <w:szCs w:val="20"/>
        </w:rPr>
      </w:pPr>
      <w:r w:rsidRPr="005F30E1">
        <w:rPr>
          <w:sz w:val="20"/>
          <w:szCs w:val="20"/>
        </w:rPr>
        <w:t>Cushman &amp; Wakefield prognozuje utrzymanie się aktywności najemców na warszawskim rynku biurowym w najbliższych kwartałach na zbliżonym poziomie do lat 2023-2024. Niemniej jednak, tempo rozwoju rynku może ulec zmianie w zależności od ogólnego klimatu gospodarczego, a także strategii firm międzynarodowych dotyczących redukcji kosztów i ekspansji.</w:t>
      </w:r>
    </w:p>
    <w:p w14:paraId="6DBFF3E9" w14:textId="1480D3AB" w:rsidR="00985CC6" w:rsidRDefault="00985CC6" w:rsidP="007830E7">
      <w:pPr>
        <w:spacing w:line="240" w:lineRule="auto"/>
        <w:jc w:val="both"/>
        <w:rPr>
          <w:rFonts w:eastAsia="Times New Roman"/>
          <w:b/>
          <w:bCs/>
          <w:sz w:val="20"/>
          <w:szCs w:val="20"/>
          <w:lang w:eastAsia="en-US"/>
        </w:rPr>
      </w:pPr>
      <w:r w:rsidRPr="00985CC6">
        <w:rPr>
          <w:rFonts w:eastAsia="Times New Roman"/>
          <w:b/>
          <w:bCs/>
          <w:sz w:val="20"/>
          <w:szCs w:val="20"/>
          <w:lang w:eastAsia="en-US"/>
        </w:rPr>
        <w:t xml:space="preserve">WSKAŹNIK PUSTOSTANÓW: </w:t>
      </w:r>
      <w:r w:rsidR="00563FF4">
        <w:rPr>
          <w:rFonts w:eastAsia="Times New Roman"/>
          <w:b/>
          <w:bCs/>
          <w:sz w:val="20"/>
          <w:szCs w:val="20"/>
          <w:lang w:eastAsia="en-US"/>
        </w:rPr>
        <w:t>coraz mniej atrakcyjnych powierzchni dostępnych od ręki</w:t>
      </w:r>
    </w:p>
    <w:p w14:paraId="5A1D3985" w14:textId="77777777" w:rsidR="00563FF4" w:rsidRPr="00563FF4" w:rsidRDefault="00563FF4" w:rsidP="007830E7">
      <w:pPr>
        <w:spacing w:line="240" w:lineRule="auto"/>
        <w:jc w:val="both"/>
        <w:rPr>
          <w:sz w:val="20"/>
          <w:szCs w:val="20"/>
        </w:rPr>
      </w:pPr>
      <w:r w:rsidRPr="00563FF4">
        <w:rPr>
          <w:sz w:val="20"/>
          <w:szCs w:val="20"/>
        </w:rPr>
        <w:t>Wskaźnik powierzchni niewynajętej na koniec grudnia 2025 roku w Warszawie wyniósł 9,1% i był 0,6 pp. niższy w porównaniu do poprzedniego kwartału oraz o 1,5 pp. niższy względem grudnia 2024.</w:t>
      </w:r>
    </w:p>
    <w:p w14:paraId="2E348D45" w14:textId="0B131523" w:rsidR="00563FF4" w:rsidRPr="00DF3013" w:rsidRDefault="00563FF4" w:rsidP="007830E7">
      <w:pPr>
        <w:spacing w:line="240" w:lineRule="auto"/>
        <w:jc w:val="both"/>
        <w:rPr>
          <w:rFonts w:eastAsia="Times New Roman"/>
          <w:sz w:val="20"/>
          <w:szCs w:val="20"/>
          <w:lang w:eastAsia="en-US"/>
        </w:rPr>
      </w:pPr>
      <w:r w:rsidRPr="00DF3013">
        <w:rPr>
          <w:i/>
          <w:iCs/>
          <w:sz w:val="20"/>
          <w:szCs w:val="20"/>
        </w:rPr>
        <w:t xml:space="preserve">– Spadek ten wynika z relatywnie korzystnego poziomu popytu, zarejestrowanego zarówno w strefach centralnych jak i nie centralnych. Dodatkowo na </w:t>
      </w:r>
      <w:r w:rsidR="00DF3013" w:rsidRPr="00DF3013">
        <w:rPr>
          <w:i/>
          <w:iCs/>
          <w:sz w:val="20"/>
          <w:szCs w:val="20"/>
        </w:rPr>
        <w:t>zmniejszenie dostępności powierzchni</w:t>
      </w:r>
      <w:r w:rsidRPr="00DF3013">
        <w:rPr>
          <w:i/>
          <w:iCs/>
          <w:sz w:val="20"/>
          <w:szCs w:val="20"/>
        </w:rPr>
        <w:t xml:space="preserve"> w strefach niecentralnych (Służewiec) miało wpływ wyłączenie kilku budynków</w:t>
      </w:r>
      <w:r w:rsidR="00DF3013" w:rsidRPr="00DF3013">
        <w:rPr>
          <w:i/>
          <w:iCs/>
          <w:sz w:val="20"/>
          <w:szCs w:val="20"/>
        </w:rPr>
        <w:t>, co do których</w:t>
      </w:r>
      <w:r w:rsidRPr="00DF3013">
        <w:rPr>
          <w:i/>
          <w:iCs/>
          <w:sz w:val="20"/>
          <w:szCs w:val="20"/>
        </w:rPr>
        <w:t xml:space="preserve"> planowa</w:t>
      </w:r>
      <w:r w:rsidR="00DF3013" w:rsidRPr="00DF3013">
        <w:rPr>
          <w:i/>
          <w:iCs/>
          <w:sz w:val="20"/>
          <w:szCs w:val="20"/>
        </w:rPr>
        <w:t>na jest zmiana funkcji na mieszkaniową</w:t>
      </w:r>
      <w:r w:rsidRPr="00DF3013">
        <w:rPr>
          <w:i/>
          <w:iCs/>
          <w:sz w:val="20"/>
          <w:szCs w:val="20"/>
        </w:rPr>
        <w:t>. Przekłada się to na dostępność powierzchni na poziomie niecałych 565 000 mkw.</w:t>
      </w:r>
      <w:r w:rsidR="00DF3013" w:rsidRPr="00DF3013">
        <w:rPr>
          <w:i/>
          <w:iCs/>
          <w:sz w:val="20"/>
          <w:szCs w:val="20"/>
        </w:rPr>
        <w:t xml:space="preserve">, co oznacza </w:t>
      </w:r>
      <w:r w:rsidRPr="00DF3013">
        <w:rPr>
          <w:i/>
          <w:iCs/>
          <w:sz w:val="20"/>
          <w:szCs w:val="20"/>
        </w:rPr>
        <w:t>spadek o ok. 41 000 mkw. względem ubiegłego kwartału</w:t>
      </w:r>
      <w:r w:rsidR="00DF3013">
        <w:rPr>
          <w:sz w:val="20"/>
          <w:szCs w:val="20"/>
        </w:rPr>
        <w:t xml:space="preserve"> </w:t>
      </w:r>
      <w:r w:rsidR="00DF3013" w:rsidRPr="003B0F97">
        <w:rPr>
          <w:rFonts w:eastAsia="Times New Roman"/>
          <w:sz w:val="20"/>
          <w:szCs w:val="20"/>
          <w:lang w:eastAsia="en-US"/>
        </w:rPr>
        <w:t xml:space="preserve">– komentuje </w:t>
      </w:r>
      <w:r w:rsidR="00DF3013" w:rsidRPr="003B0F97">
        <w:rPr>
          <w:rFonts w:eastAsia="Times New Roman"/>
          <w:b/>
          <w:bCs/>
          <w:sz w:val="20"/>
          <w:szCs w:val="20"/>
          <w:lang w:eastAsia="en-US"/>
        </w:rPr>
        <w:t>Vitalii Arkhypenko</w:t>
      </w:r>
      <w:r w:rsidR="00DF3013">
        <w:rPr>
          <w:rFonts w:eastAsia="Times New Roman"/>
          <w:b/>
          <w:bCs/>
          <w:sz w:val="20"/>
          <w:szCs w:val="20"/>
          <w:lang w:eastAsia="en-US"/>
        </w:rPr>
        <w:t>.</w:t>
      </w:r>
    </w:p>
    <w:p w14:paraId="311C4BC9" w14:textId="77777777" w:rsidR="00563FF4" w:rsidRPr="00563FF4" w:rsidRDefault="00563FF4" w:rsidP="007830E7">
      <w:pPr>
        <w:spacing w:line="240" w:lineRule="auto"/>
        <w:jc w:val="both"/>
        <w:rPr>
          <w:sz w:val="20"/>
          <w:szCs w:val="20"/>
        </w:rPr>
      </w:pPr>
      <w:r w:rsidRPr="00563FF4">
        <w:rPr>
          <w:sz w:val="20"/>
          <w:szCs w:val="20"/>
        </w:rPr>
        <w:t>Wraz ze spodziewanym ograniczeniem nowej podaży w latach 2026-2027, będziemy obserwować dalszą kompresję wskaźnika powierzchni niewynajętej. Pozwoli to warszawskiemu rynkowi na wchłonięcie nadwyżki dostępnej powierzchni biurowej w istniejącym zasobie. Dodatkowo, struktura pustostanów różni się w zależności od lokalizacji. Obecnie wyższy wskaźnik pustostanów utrzymuje się w strefach niecentralnych (11,6%), co oznacza delikatny spadek względem kwartałów Q1 2024- Q3 2025 (12-13%). Natomiast w strefie centralnej, dostępność powierzchni pod koniec 2025 roku wyniosła 6,1%, co świadczy o niskiej i nadal malejącej dostępnej powierzchni w Centrum. Wskaźnik ten w szczytowym momencie wynosił 13,8% w 2021 roku.</w:t>
      </w:r>
    </w:p>
    <w:p w14:paraId="25942EF2" w14:textId="77777777" w:rsidR="00563FF4" w:rsidRPr="00563FF4" w:rsidRDefault="00563FF4" w:rsidP="007830E7">
      <w:pPr>
        <w:spacing w:line="240" w:lineRule="auto"/>
        <w:jc w:val="both"/>
        <w:rPr>
          <w:sz w:val="20"/>
          <w:szCs w:val="20"/>
        </w:rPr>
      </w:pPr>
      <w:r w:rsidRPr="00563FF4">
        <w:rPr>
          <w:sz w:val="20"/>
          <w:szCs w:val="20"/>
        </w:rPr>
        <w:t>Warto również zauważyć, że oczekiwany dalszy spadek dostępnej powierzchni biurowej w centralnych lokalizacjach może prowadzić do dalszego wzrostu czynszów w Centrum, co przy jednoczesnym ograniczeniu nowych inwestycji, może sprzyjać starszym projektom, ale też projektom poza centrum. Sytuacja ta może zachęcić do modernizacji budynków starszych, by umożliwić im skuteczniejsze konkurowanie o utrzymanie obecnych i pozyskanie nowych najemców.</w:t>
      </w:r>
    </w:p>
    <w:p w14:paraId="15909ECC" w14:textId="11541DE1" w:rsidR="008C6651" w:rsidRPr="008C6651" w:rsidRDefault="00675B1B" w:rsidP="007830E7">
      <w:pPr>
        <w:spacing w:line="240" w:lineRule="auto"/>
        <w:jc w:val="both"/>
        <w:rPr>
          <w:b/>
          <w:bCs/>
          <w:sz w:val="20"/>
          <w:szCs w:val="20"/>
        </w:rPr>
      </w:pPr>
      <w:r w:rsidRPr="008C6651">
        <w:rPr>
          <w:rFonts w:eastAsia="Times New Roman"/>
          <w:b/>
          <w:bCs/>
          <w:sz w:val="20"/>
          <w:szCs w:val="20"/>
          <w:lang w:eastAsia="en-US"/>
        </w:rPr>
        <w:t xml:space="preserve">STAWKI CZYNSZÓW: </w:t>
      </w:r>
      <w:r w:rsidR="00DF3013">
        <w:rPr>
          <w:b/>
          <w:bCs/>
          <w:sz w:val="20"/>
          <w:szCs w:val="20"/>
        </w:rPr>
        <w:t>mniejsza dostępność biur i rosnące koszty z wpływem na dalsze wzrosty</w:t>
      </w:r>
    </w:p>
    <w:p w14:paraId="7CE2FD77" w14:textId="77777777" w:rsidR="00DF3013" w:rsidRPr="00DF3013" w:rsidRDefault="00DF3013" w:rsidP="007830E7">
      <w:pPr>
        <w:spacing w:line="240" w:lineRule="auto"/>
        <w:jc w:val="both"/>
        <w:rPr>
          <w:sz w:val="20"/>
          <w:szCs w:val="20"/>
        </w:rPr>
      </w:pPr>
      <w:r w:rsidRPr="00DF3013">
        <w:rPr>
          <w:sz w:val="20"/>
          <w:szCs w:val="20"/>
        </w:rPr>
        <w:t>W grudniu 2025 roku stawki „premium” za najlepsze powierzchnie biurowe w Warszawie wyniosły przeciętnie 24,00-28,00 EUR/ mkw./ miesiąc w strefie Centrum oraz 15,00-19,00 EUR/ mkw./ miesiąc w lokalizacjach poza centralnych. Wzrosty czynszu obserwowano przede wszystkim w budynkach w Centrum (zarówno w trakcie budowy jak i w istniejących). Czynsze w budynkach poza centrum również doświadczyły wzrostów, choć i o niższej skali – zbliżonej lub nieznacznie wyższej względem wskaźnika inflacji.</w:t>
      </w:r>
    </w:p>
    <w:p w14:paraId="2B22ABED" w14:textId="77777777" w:rsidR="00DF3013" w:rsidRPr="00DF3013" w:rsidRDefault="00DF3013" w:rsidP="007830E7">
      <w:pPr>
        <w:spacing w:line="240" w:lineRule="auto"/>
        <w:jc w:val="both"/>
        <w:rPr>
          <w:sz w:val="20"/>
          <w:szCs w:val="20"/>
        </w:rPr>
      </w:pPr>
      <w:r w:rsidRPr="00DF3013">
        <w:rPr>
          <w:sz w:val="20"/>
          <w:szCs w:val="20"/>
        </w:rPr>
        <w:lastRenderedPageBreak/>
        <w:t>Cushman &amp; Wakefield przewiduje, że w kolejnych kwartałach, presja na wzrost stawek czynszu będzie widoczna nadal przede wszystkim w projektach w budowie oraz w najbardziej atrakcyjnych obiektach zlokalizowanych w Centrum. Podczas gdy w większości obiektów w lokalizacjach niecentralnych wzrost czynszów będzie ograniczony ze względu na większą konkurencję i relatywnie wyższy poziom wakatu.</w:t>
      </w:r>
    </w:p>
    <w:p w14:paraId="6C7874CE" w14:textId="77777777" w:rsidR="00AC62A5" w:rsidRPr="00AF11EE" w:rsidRDefault="00AC62A5" w:rsidP="00AC62A5">
      <w:pPr>
        <w:jc w:val="center"/>
        <w:rPr>
          <w:sz w:val="16"/>
          <w:szCs w:val="16"/>
        </w:rPr>
      </w:pPr>
      <w:r>
        <w:rPr>
          <w:rFonts w:eastAsia="Times New Roman"/>
          <w:sz w:val="16"/>
          <w:szCs w:val="16"/>
          <w:lang w:eastAsia="en-US"/>
        </w:rPr>
        <w:t xml:space="preserve">- </w:t>
      </w:r>
      <w:r w:rsidRPr="004E5A7E">
        <w:rPr>
          <w:rFonts w:eastAsia="Times New Roman"/>
          <w:b/>
          <w:bCs/>
          <w:sz w:val="16"/>
          <w:szCs w:val="16"/>
          <w:lang w:eastAsia="en-US"/>
        </w:rPr>
        <w:t xml:space="preserve">KONIEC </w:t>
      </w:r>
      <w:r>
        <w:rPr>
          <w:rFonts w:eastAsia="Times New Roman"/>
          <w:b/>
          <w:bCs/>
          <w:sz w:val="16"/>
          <w:szCs w:val="16"/>
          <w:lang w:eastAsia="en-US"/>
        </w:rPr>
        <w:t>-</w:t>
      </w:r>
    </w:p>
    <w:p w14:paraId="330F4936" w14:textId="77777777" w:rsidR="00AC62A5" w:rsidRPr="00CE1EF8" w:rsidRDefault="00AC62A5" w:rsidP="008C6651">
      <w:pPr>
        <w:spacing w:line="240" w:lineRule="auto"/>
        <w:jc w:val="both"/>
        <w:rPr>
          <w:rFonts w:eastAsia="Times New Roman"/>
          <w:b/>
          <w:bCs/>
          <w:sz w:val="20"/>
          <w:szCs w:val="20"/>
          <w:lang w:eastAsia="en-US"/>
        </w:rPr>
      </w:pPr>
    </w:p>
    <w:p w14:paraId="482909FA" w14:textId="239325B7" w:rsidR="004B3D1A" w:rsidRPr="00AC62A5" w:rsidRDefault="004B3D1A" w:rsidP="00AC62A5">
      <w:pPr>
        <w:spacing w:line="240" w:lineRule="auto"/>
        <w:jc w:val="both"/>
        <w:rPr>
          <w:rFonts w:eastAsia="Times New Roman"/>
          <w:b/>
          <w:bCs/>
          <w:sz w:val="20"/>
          <w:szCs w:val="20"/>
          <w:lang w:eastAsia="en-US"/>
        </w:rPr>
      </w:pPr>
      <w:r w:rsidRPr="007E6CDD">
        <w:rPr>
          <w:b/>
          <w:sz w:val="16"/>
          <w:szCs w:val="16"/>
        </w:rPr>
        <w:t>O Cushman &amp; Wakefiel</w:t>
      </w:r>
      <w:r w:rsidR="00AC6DF8" w:rsidRPr="007E6CDD">
        <w:rPr>
          <w:b/>
          <w:sz w:val="16"/>
          <w:szCs w:val="16"/>
        </w:rPr>
        <w:t>d</w:t>
      </w:r>
    </w:p>
    <w:p w14:paraId="720766D1" w14:textId="77777777" w:rsidR="00AC62A5" w:rsidRPr="004170C0" w:rsidRDefault="00AC62A5" w:rsidP="00AC62A5">
      <w:pPr>
        <w:jc w:val="both"/>
        <w:rPr>
          <w:bCs/>
          <w:sz w:val="16"/>
          <w:szCs w:val="16"/>
        </w:rPr>
      </w:pPr>
      <w:r w:rsidRPr="004170C0">
        <w:rPr>
          <w:bCs/>
          <w:sz w:val="16"/>
          <w:szCs w:val="16"/>
        </w:rPr>
        <w:t>Cushman &amp; Wakefield (NYSE: CWK) jest wiodącą na świecie firmą świadczącą usługi na rzecz właścicieli i najemców nieruchomości komercyjnych. Zatrudnia ok. 52 tys. pracowników w niemal 400 biurach i 60 krajach na całym świecie. W 2024 roku jej przychody wyniosły 9,4 mld USD. Do najważniejszych usług świadczonych przez firmę należą m.in. zarządzanie nieruchomościami, obiektami i projektami, pośrednictwo w wynajmie powierzchni, obsługa transakcji na rynkach kapitałowych oraz wyceny. Za nieustanne dążenie do doskonałości zgodnie z zasadą </w:t>
      </w:r>
      <w:proofErr w:type="spellStart"/>
      <w:r w:rsidRPr="004170C0">
        <w:rPr>
          <w:bCs/>
          <w:i/>
          <w:iCs/>
          <w:sz w:val="16"/>
          <w:szCs w:val="16"/>
        </w:rPr>
        <w:t>Better</w:t>
      </w:r>
      <w:proofErr w:type="spellEnd"/>
      <w:r w:rsidRPr="004170C0">
        <w:rPr>
          <w:bCs/>
          <w:i/>
          <w:iCs/>
          <w:sz w:val="16"/>
          <w:szCs w:val="16"/>
        </w:rPr>
        <w:t xml:space="preserve"> </w:t>
      </w:r>
      <w:proofErr w:type="spellStart"/>
      <w:r w:rsidRPr="004170C0">
        <w:rPr>
          <w:bCs/>
          <w:i/>
          <w:iCs/>
          <w:sz w:val="16"/>
          <w:szCs w:val="16"/>
        </w:rPr>
        <w:t>never</w:t>
      </w:r>
      <w:proofErr w:type="spellEnd"/>
      <w:r w:rsidRPr="004170C0">
        <w:rPr>
          <w:bCs/>
          <w:i/>
          <w:iCs/>
          <w:sz w:val="16"/>
          <w:szCs w:val="16"/>
        </w:rPr>
        <w:t xml:space="preserve"> </w:t>
      </w:r>
      <w:proofErr w:type="spellStart"/>
      <w:r w:rsidRPr="004170C0">
        <w:rPr>
          <w:bCs/>
          <w:i/>
          <w:iCs/>
          <w:sz w:val="16"/>
          <w:szCs w:val="16"/>
        </w:rPr>
        <w:t>settles</w:t>
      </w:r>
      <w:proofErr w:type="spellEnd"/>
      <w:r w:rsidRPr="004170C0">
        <w:rPr>
          <w:bCs/>
          <w:sz w:val="16"/>
          <w:szCs w:val="16"/>
        </w:rPr>
        <w:t> </w:t>
      </w:r>
      <w:proofErr w:type="spellStart"/>
      <w:r w:rsidRPr="004170C0">
        <w:rPr>
          <w:bCs/>
          <w:sz w:val="16"/>
          <w:szCs w:val="16"/>
        </w:rPr>
        <w:t>Cushman</w:t>
      </w:r>
      <w:proofErr w:type="spellEnd"/>
      <w:r w:rsidRPr="004170C0">
        <w:rPr>
          <w:bCs/>
          <w:sz w:val="16"/>
          <w:szCs w:val="16"/>
        </w:rPr>
        <w:t xml:space="preserve"> &amp; Wakefield otrzymuje wiele wyróżnień oraz nagród w konkursach branżowych i biznesowych. Dodatkowe informacje na stronie </w:t>
      </w:r>
      <w:hyperlink r:id="rId11" w:tgtFrame="_blank" w:tooltip="http://www.cushmanwakefield.com" w:history="1">
        <w:r w:rsidRPr="004170C0">
          <w:rPr>
            <w:rStyle w:val="Hyperlink"/>
            <w:bCs/>
            <w:sz w:val="16"/>
            <w:szCs w:val="16"/>
          </w:rPr>
          <w:t>www.cushmanwakefield.com</w:t>
        </w:r>
      </w:hyperlink>
      <w:r w:rsidRPr="004170C0">
        <w:rPr>
          <w:bCs/>
          <w:sz w:val="16"/>
          <w:szCs w:val="16"/>
        </w:rPr>
        <w:t>.</w:t>
      </w:r>
    </w:p>
    <w:p w14:paraId="64A83442" w14:textId="5CD6CB13" w:rsidR="00BC2537" w:rsidRPr="00AF11EE" w:rsidRDefault="00BC2537" w:rsidP="0017521E">
      <w:pPr>
        <w:jc w:val="center"/>
        <w:rPr>
          <w:sz w:val="16"/>
          <w:szCs w:val="16"/>
        </w:rPr>
      </w:pPr>
    </w:p>
    <w:sectPr w:rsidR="00BC2537" w:rsidRPr="00AF11EE"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3600" w:right="1008" w:bottom="2880" w:left="1224" w:header="1800" w:footer="43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5E20D9" w14:textId="77777777" w:rsidR="00040176" w:rsidRDefault="00040176">
      <w:pPr>
        <w:spacing w:after="0" w:line="240" w:lineRule="auto"/>
      </w:pPr>
      <w:r>
        <w:separator/>
      </w:r>
    </w:p>
  </w:endnote>
  <w:endnote w:type="continuationSeparator" w:id="0">
    <w:p w14:paraId="42A34A0A" w14:textId="77777777" w:rsidR="00040176" w:rsidRDefault="00040176">
      <w:pPr>
        <w:spacing w:after="0" w:line="240" w:lineRule="auto"/>
      </w:pPr>
      <w:r>
        <w:continuationSeparator/>
      </w:r>
    </w:p>
  </w:endnote>
  <w:endnote w:type="continuationNotice" w:id="1">
    <w:p w14:paraId="24A4D6AD" w14:textId="77777777" w:rsidR="00040176" w:rsidRDefault="000401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0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00"/>
    </w:tblGrid>
    <w:tr w:rsidR="00C8277A" w:rsidRPr="005B2397" w14:paraId="2AD926AD" w14:textId="77777777" w:rsidTr="00B924E3">
      <w:trPr>
        <w:trHeight w:val="630"/>
      </w:trPr>
      <w:tc>
        <w:tcPr>
          <w:tcW w:w="8931" w:type="dxa"/>
          <w:vAlign w:val="bottom"/>
        </w:tcPr>
        <w:p w14:paraId="46F11C58" w14:textId="77777777" w:rsidR="00025C81" w:rsidRPr="00C8277A" w:rsidRDefault="001A4929" w:rsidP="00B924E3">
          <w:pPr>
            <w:pStyle w:val="Heading2"/>
            <w:rPr>
              <w:rFonts w:ascii="Arial" w:hAnsi="Arial" w:cs="Arial"/>
              <w:color w:val="000000" w:themeColor="text1"/>
            </w:rPr>
          </w:pPr>
          <w:r w:rsidRPr="00C8277A">
            <w:rPr>
              <w:rFonts w:ascii="Arial" w:hAnsi="Arial" w:cs="Arial"/>
              <w:color w:val="000000" w:themeColor="text1"/>
            </w:rPr>
            <w:t>Dodatkowe informacje:</w:t>
          </w:r>
        </w:p>
      </w:tc>
    </w:tr>
    <w:tr w:rsidR="00C8277A" w:rsidRPr="00693C44" w14:paraId="2F690183" w14:textId="77777777" w:rsidTr="00B924E3">
      <w:trPr>
        <w:trHeight w:val="1260"/>
      </w:trPr>
      <w:tc>
        <w:tcPr>
          <w:tcW w:w="8931" w:type="dxa"/>
        </w:tcPr>
        <w:tbl>
          <w:tblPr>
            <w:tblStyle w:val="PlainTable41"/>
            <w:tblW w:w="10095" w:type="dxa"/>
            <w:tblLayout w:type="fixed"/>
            <w:tblLook w:val="04A0" w:firstRow="1" w:lastRow="0" w:firstColumn="1" w:lastColumn="0" w:noHBand="0" w:noVBand="1"/>
          </w:tblPr>
          <w:tblGrid>
            <w:gridCol w:w="8564"/>
            <w:gridCol w:w="218"/>
            <w:gridCol w:w="218"/>
          </w:tblGrid>
          <w:tr w:rsidR="00C8277A" w:rsidRPr="00693C44" w14:paraId="73319B5E" w14:textId="77777777" w:rsidTr="00265F1D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16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467" w:type="dxa"/>
              </w:tcPr>
              <w:tbl>
                <w:tblPr>
                  <w:tblStyle w:val="TableGrid"/>
                  <w:tblW w:w="24344" w:type="dxa"/>
                  <w:tblInd w:w="2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6086"/>
                  <w:gridCol w:w="6086"/>
                  <w:gridCol w:w="6086"/>
                  <w:gridCol w:w="6086"/>
                </w:tblGrid>
                <w:tr w:rsidR="00C8277A" w:rsidRPr="00693C44" w14:paraId="32B5F073" w14:textId="77777777" w:rsidTr="00B77D91">
                  <w:trPr>
                    <w:trHeight w:val="738"/>
                  </w:trPr>
                  <w:tc>
                    <w:tcPr>
                      <w:tcW w:w="6086" w:type="dxa"/>
                    </w:tcPr>
                    <w:p w14:paraId="67AD71FE" w14:textId="02F68497" w:rsidR="00025C81" w:rsidRPr="009D1ABC" w:rsidRDefault="00AF11EE" w:rsidP="00B924E3">
                      <w:pPr>
                        <w:pStyle w:val="ContactName"/>
                        <w:spacing w:line="240" w:lineRule="auto"/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</w:pPr>
                      <w:r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  <w:t xml:space="preserve">Karolina </w:t>
                      </w:r>
                      <w:proofErr w:type="spellStart"/>
                      <w:r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  <w:t>Samczyńska-Fiślak</w:t>
                      </w:r>
                      <w:proofErr w:type="spellEnd"/>
                    </w:p>
                    <w:p w14:paraId="03FB117E" w14:textId="77777777" w:rsidR="00025C81" w:rsidRPr="009D1ABC" w:rsidRDefault="001A4929" w:rsidP="00B924E3">
                      <w:pPr>
                        <w:pStyle w:val="ContactName"/>
                        <w:spacing w:line="240" w:lineRule="auto"/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en-US"/>
                        </w:rPr>
                      </w:pPr>
                      <w:r w:rsidRPr="009D1ABC"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en-US"/>
                        </w:rPr>
                        <w:t xml:space="preserve">Cushman &amp; Wakefield </w:t>
                      </w:r>
                    </w:p>
                    <w:p w14:paraId="51DAB7AF" w14:textId="799868C8" w:rsidR="00025C81" w:rsidRPr="009D1ABC" w:rsidRDefault="001A4929" w:rsidP="00B924E3">
                      <w:pPr>
                        <w:rPr>
                          <w:rFonts w:ascii="Calibri" w:eastAsia="Times New Roman" w:hAnsi="Calibri"/>
                          <w:sz w:val="18"/>
                          <w:szCs w:val="18"/>
                        </w:rPr>
                      </w:pPr>
                      <w:r w:rsidRPr="009D1ABC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 xml:space="preserve">Tel: + 48 22 820 20 20; </w:t>
                      </w:r>
                      <w:r w:rsidR="00AF11EE" w:rsidRP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691</w:t>
                      </w:r>
                      <w:r w:rsid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 </w:t>
                      </w:r>
                      <w:r w:rsidR="00AF11EE" w:rsidRP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060</w:t>
                      </w:r>
                      <w:r w:rsid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 xml:space="preserve"> </w:t>
                      </w:r>
                      <w:r w:rsidR="00AF11EE" w:rsidRP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202</w:t>
                      </w:r>
                    </w:p>
                    <w:p w14:paraId="4EC59528" w14:textId="77777777" w:rsidR="00025C81" w:rsidRPr="009D1ABC" w:rsidRDefault="001A4929" w:rsidP="00B924E3">
                      <w:pPr>
                        <w:pStyle w:val="ContactName"/>
                        <w:tabs>
                          <w:tab w:val="right" w:pos="4688"/>
                        </w:tabs>
                        <w:spacing w:line="240" w:lineRule="auto"/>
                        <w:rPr>
                          <w:color w:val="696B6B"/>
                          <w:u w:color="696B6B"/>
                          <w:lang w:val="de-DE"/>
                        </w:rPr>
                      </w:pPr>
                      <w:r w:rsidRPr="009D1ABC">
                        <w:rPr>
                          <w:color w:val="696B6B"/>
                          <w:u w:color="696B6B"/>
                          <w:lang w:val="de-DE"/>
                        </w:rPr>
                        <w:t xml:space="preserve">e-mail: </w:t>
                      </w:r>
                      <w:hyperlink r:id="rId1" w:history="1">
                        <w:r w:rsidRPr="009D1ABC">
                          <w:rPr>
                            <w:rStyle w:val="Hyperlink0"/>
                            <w:lang w:val="de-AT"/>
                          </w:rPr>
                          <w:t>media.poland@cushwake.pl</w:t>
                        </w:r>
                      </w:hyperlink>
                    </w:p>
                  </w:tc>
                  <w:tc>
                    <w:tcPr>
                      <w:tcW w:w="6086" w:type="dxa"/>
                    </w:tcPr>
                    <w:p w14:paraId="0CF7FE8B" w14:textId="77777777" w:rsidR="00025C81" w:rsidRPr="009D1ABC" w:rsidRDefault="00025C81" w:rsidP="00B924E3">
                      <w:pPr>
                        <w:pStyle w:val="ContactDetail"/>
                        <w:spacing w:line="240" w:lineRule="auto"/>
                        <w:rPr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  <w:tc>
                    <w:tcPr>
                      <w:tcW w:w="6086" w:type="dxa"/>
                    </w:tcPr>
                    <w:p w14:paraId="20ECDA43" w14:textId="77777777" w:rsidR="00025C81" w:rsidRPr="00167436" w:rsidRDefault="00025C81" w:rsidP="00B924E3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  <w:tc>
                    <w:tcPr>
                      <w:tcW w:w="6086" w:type="dxa"/>
                    </w:tcPr>
                    <w:p w14:paraId="397E05EC" w14:textId="77777777" w:rsidR="00025C81" w:rsidRPr="00167436" w:rsidRDefault="00025C81" w:rsidP="00B924E3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</w:tr>
              </w:tbl>
              <w:p w14:paraId="08D62AB9" w14:textId="77777777" w:rsidR="00025C81" w:rsidRPr="009D1ABC" w:rsidRDefault="00025C81" w:rsidP="00B924E3">
                <w:pPr>
                  <w:pStyle w:val="ContactDetail"/>
                  <w:rPr>
                    <w:rFonts w:asciiTheme="minorHAnsi" w:hAnsiTheme="minorHAnsi" w:cstheme="minorHAnsi"/>
                    <w:color w:val="000000" w:themeColor="text1"/>
                    <w:lang w:val="es-ES_tradnl"/>
                  </w:rPr>
                </w:pPr>
              </w:p>
            </w:tc>
            <w:tc>
              <w:tcPr>
                <w:tcW w:w="3763" w:type="dxa"/>
              </w:tcPr>
              <w:p w14:paraId="4ED69CDE" w14:textId="77777777" w:rsidR="00025C81" w:rsidRPr="007B2741" w:rsidRDefault="00025C81" w:rsidP="00580984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Brak"/>
                    <w:color w:val="696B6B"/>
                    <w:u w:color="696B6B"/>
                    <w:lang w:val="en-US"/>
                  </w:rPr>
                </w:pPr>
              </w:p>
            </w:tc>
            <w:tc>
              <w:tcPr>
                <w:tcW w:w="2865" w:type="dxa"/>
              </w:tcPr>
              <w:p w14:paraId="1A4CBD3A" w14:textId="77777777" w:rsidR="00025C81" w:rsidRPr="007B2741" w:rsidRDefault="00025C81" w:rsidP="00B924E3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lang w:val="en-US"/>
                  </w:rPr>
                </w:pPr>
              </w:p>
              <w:p w14:paraId="0D0425FA" w14:textId="77777777" w:rsidR="00025C81" w:rsidRPr="007B2741" w:rsidRDefault="00025C81" w:rsidP="00B924E3">
                <w:pPr>
                  <w:pStyle w:val="ContactDetail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000000" w:themeColor="text1"/>
                    <w:lang w:val="en-US"/>
                  </w:rPr>
                </w:pPr>
              </w:p>
            </w:tc>
          </w:tr>
        </w:tbl>
        <w:p w14:paraId="51226427" w14:textId="794B06BC" w:rsidR="00025C81" w:rsidRPr="007B2741" w:rsidRDefault="00025C81" w:rsidP="00B924E3">
          <w:pPr>
            <w:pStyle w:val="ContactDetail"/>
            <w:rPr>
              <w:rFonts w:asciiTheme="minorHAnsi" w:hAnsiTheme="minorHAnsi" w:cstheme="minorHAnsi"/>
              <w:color w:val="000000" w:themeColor="text1"/>
              <w:lang w:val="en-US"/>
            </w:rPr>
          </w:pPr>
        </w:p>
      </w:tc>
    </w:tr>
  </w:tbl>
  <w:p w14:paraId="6A6BD428" w14:textId="77777777" w:rsidR="00025C81" w:rsidRPr="007B2741" w:rsidRDefault="00025C81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44E79" w14:textId="77777777" w:rsidR="00025C81" w:rsidRDefault="00025C81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W w:w="9000" w:type="dxa"/>
      <w:tblLayout w:type="fixed"/>
      <w:tblLook w:val="0400" w:firstRow="0" w:lastRow="0" w:firstColumn="0" w:lastColumn="0" w:noHBand="0" w:noVBand="1"/>
    </w:tblPr>
    <w:tblGrid>
      <w:gridCol w:w="5670"/>
      <w:gridCol w:w="3330"/>
    </w:tblGrid>
    <w:tr w:rsidR="00F67554" w14:paraId="57A23F18" w14:textId="77777777">
      <w:trPr>
        <w:trHeight w:val="630"/>
      </w:trPr>
      <w:tc>
        <w:tcPr>
          <w:tcW w:w="5670" w:type="dxa"/>
          <w:vAlign w:val="bottom"/>
        </w:tcPr>
        <w:p w14:paraId="00233554" w14:textId="77777777" w:rsidR="00025C81" w:rsidRDefault="001A4929">
          <w:pPr>
            <w:pStyle w:val="Heading2"/>
            <w:rPr>
              <w:rFonts w:ascii="Arial" w:eastAsia="Arial" w:hAnsi="Arial" w:cs="Arial"/>
              <w:color w:val="696B6B"/>
            </w:rPr>
          </w:pPr>
          <w:r>
            <w:rPr>
              <w:rFonts w:ascii="Arial" w:eastAsia="Arial" w:hAnsi="Arial" w:cs="Arial"/>
              <w:color w:val="696B6B"/>
            </w:rPr>
            <w:t>Media Contact:</w:t>
          </w:r>
        </w:p>
      </w:tc>
      <w:tc>
        <w:tcPr>
          <w:tcW w:w="3330" w:type="dxa"/>
          <w:vAlign w:val="bottom"/>
        </w:tcPr>
        <w:p w14:paraId="61C181ED" w14:textId="77777777" w:rsidR="00025C81" w:rsidRDefault="00025C81">
          <w:pPr>
            <w:spacing w:after="100" w:line="240" w:lineRule="auto"/>
            <w:rPr>
              <w:b/>
              <w:color w:val="696B6B"/>
              <w:sz w:val="18"/>
              <w:szCs w:val="18"/>
            </w:rPr>
          </w:pPr>
        </w:p>
      </w:tc>
    </w:tr>
    <w:tr w:rsidR="00F67554" w:rsidRPr="00693C44" w14:paraId="17458FA5" w14:textId="77777777">
      <w:trPr>
        <w:trHeight w:val="1260"/>
      </w:trPr>
      <w:tc>
        <w:tcPr>
          <w:tcW w:w="5670" w:type="dxa"/>
          <w:vAlign w:val="bottom"/>
        </w:tcPr>
        <w:p w14:paraId="065B4F91" w14:textId="77777777" w:rsidR="00025C81" w:rsidRPr="00C8277A" w:rsidRDefault="001A4929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b/>
              <w:color w:val="696B6B"/>
              <w:sz w:val="18"/>
              <w:szCs w:val="18"/>
              <w:lang w:val="en-GB"/>
            </w:rPr>
          </w:pPr>
          <w:r w:rsidRPr="00C8277A">
            <w:rPr>
              <w:b/>
              <w:color w:val="696B6B"/>
              <w:sz w:val="18"/>
              <w:szCs w:val="18"/>
              <w:lang w:val="en-GB"/>
            </w:rPr>
            <w:t>Name</w:t>
          </w:r>
        </w:p>
        <w:p w14:paraId="78082AF7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Title</w:t>
          </w:r>
        </w:p>
        <w:p w14:paraId="6C6535E5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+1 000 000 0000</w:t>
          </w:r>
        </w:p>
        <w:p w14:paraId="01D18F40" w14:textId="7E1FEC25" w:rsidR="00025C81" w:rsidRPr="00C8277A" w:rsidRDefault="00B77D9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>
            <w:fldChar w:fldCharType="begin"/>
          </w:r>
          <w:r w:rsidRPr="00693C44">
            <w:rPr>
              <w:lang w:val="en-US"/>
            </w:rPr>
            <w:instrText>HYPERLINK "mailto:first.last@cushwake.com"</w:instrText>
          </w:r>
          <w:r>
            <w:fldChar w:fldCharType="separate"/>
          </w:r>
          <w:r w:rsidRPr="00D4241D">
            <w:rPr>
              <w:rStyle w:val="Hyperlink"/>
              <w:sz w:val="18"/>
              <w:szCs w:val="18"/>
              <w:lang w:val="en-GB"/>
            </w:rPr>
            <w:t>first.last@cushwake.com</w:t>
          </w:r>
          <w:r>
            <w:rPr>
              <w:rStyle w:val="Hyperlink"/>
              <w:sz w:val="18"/>
              <w:szCs w:val="18"/>
              <w:lang w:val="en-GB"/>
            </w:rPr>
            <w:fldChar w:fldCharType="end"/>
          </w:r>
          <w:r w:rsidR="001A4929" w:rsidRPr="00C8277A">
            <w:rPr>
              <w:color w:val="696B6B"/>
              <w:sz w:val="18"/>
              <w:szCs w:val="18"/>
              <w:lang w:val="en-GB"/>
            </w:rPr>
            <w:t xml:space="preserve"> </w:t>
          </w:r>
        </w:p>
      </w:tc>
      <w:tc>
        <w:tcPr>
          <w:tcW w:w="3330" w:type="dxa"/>
          <w:vAlign w:val="bottom"/>
        </w:tcPr>
        <w:p w14:paraId="5F7143DE" w14:textId="77777777" w:rsidR="00025C81" w:rsidRPr="00C8277A" w:rsidRDefault="00025C8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</w:p>
      </w:tc>
    </w:tr>
  </w:tbl>
  <w:p w14:paraId="62A457F3" w14:textId="77777777" w:rsidR="00025C81" w:rsidRPr="00C8277A" w:rsidRDefault="00025C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1EFEC" w14:textId="77777777" w:rsidR="00040176" w:rsidRDefault="00040176">
      <w:pPr>
        <w:spacing w:after="0" w:line="240" w:lineRule="auto"/>
      </w:pPr>
      <w:r>
        <w:separator/>
      </w:r>
    </w:p>
  </w:footnote>
  <w:footnote w:type="continuationSeparator" w:id="0">
    <w:p w14:paraId="330CEDA2" w14:textId="77777777" w:rsidR="00040176" w:rsidRDefault="00040176">
      <w:pPr>
        <w:spacing w:after="0" w:line="240" w:lineRule="auto"/>
      </w:pPr>
      <w:r>
        <w:continuationSeparator/>
      </w:r>
    </w:p>
  </w:footnote>
  <w:footnote w:type="continuationNotice" w:id="1">
    <w:p w14:paraId="6B8EE379" w14:textId="77777777" w:rsidR="00040176" w:rsidRDefault="000401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7E98D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6384EC7" wp14:editId="2933026F">
          <wp:simplePos x="0" y="0"/>
          <wp:positionH relativeFrom="column">
            <wp:posOffset>43133</wp:posOffset>
          </wp:positionH>
          <wp:positionV relativeFrom="paragraph">
            <wp:posOffset>-154975</wp:posOffset>
          </wp:positionV>
          <wp:extent cx="1933575" cy="40767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F1D7A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24F12382" wp14:editId="51EBFB22">
          <wp:simplePos x="0" y="0"/>
          <wp:positionH relativeFrom="column">
            <wp:posOffset>3811</wp:posOffset>
          </wp:positionH>
          <wp:positionV relativeFrom="paragraph">
            <wp:posOffset>-201294</wp:posOffset>
          </wp:positionV>
          <wp:extent cx="1933575" cy="40767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77968"/>
    <w:multiLevelType w:val="hybridMultilevel"/>
    <w:tmpl w:val="C66CC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14EDF"/>
    <w:multiLevelType w:val="hybridMultilevel"/>
    <w:tmpl w:val="FA123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922B5"/>
    <w:multiLevelType w:val="hybridMultilevel"/>
    <w:tmpl w:val="EEF01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974D6"/>
    <w:multiLevelType w:val="hybridMultilevel"/>
    <w:tmpl w:val="4D4E3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553438">
    <w:abstractNumId w:val="3"/>
  </w:num>
  <w:num w:numId="2" w16cid:durableId="1044217238">
    <w:abstractNumId w:val="0"/>
  </w:num>
  <w:num w:numId="3" w16cid:durableId="1344088390">
    <w:abstractNumId w:val="2"/>
  </w:num>
  <w:num w:numId="4" w16cid:durableId="1314606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A2D"/>
    <w:rsid w:val="00001D62"/>
    <w:rsid w:val="00003988"/>
    <w:rsid w:val="00005FD5"/>
    <w:rsid w:val="00007243"/>
    <w:rsid w:val="00013F59"/>
    <w:rsid w:val="000203A2"/>
    <w:rsid w:val="000251E4"/>
    <w:rsid w:val="00025C81"/>
    <w:rsid w:val="00027226"/>
    <w:rsid w:val="00027F57"/>
    <w:rsid w:val="00031E6B"/>
    <w:rsid w:val="0003245E"/>
    <w:rsid w:val="00035A36"/>
    <w:rsid w:val="00037593"/>
    <w:rsid w:val="00040176"/>
    <w:rsid w:val="00040FBF"/>
    <w:rsid w:val="00044C5B"/>
    <w:rsid w:val="000621C1"/>
    <w:rsid w:val="000666EE"/>
    <w:rsid w:val="00067FD0"/>
    <w:rsid w:val="000700E2"/>
    <w:rsid w:val="000720F5"/>
    <w:rsid w:val="0008371E"/>
    <w:rsid w:val="00083F43"/>
    <w:rsid w:val="00086A48"/>
    <w:rsid w:val="00086C80"/>
    <w:rsid w:val="00086F64"/>
    <w:rsid w:val="0008772D"/>
    <w:rsid w:val="00087CCB"/>
    <w:rsid w:val="00091852"/>
    <w:rsid w:val="00092C27"/>
    <w:rsid w:val="00093540"/>
    <w:rsid w:val="00096548"/>
    <w:rsid w:val="000A54A7"/>
    <w:rsid w:val="000A5B38"/>
    <w:rsid w:val="000A622E"/>
    <w:rsid w:val="000B142D"/>
    <w:rsid w:val="000B29DE"/>
    <w:rsid w:val="000B57CB"/>
    <w:rsid w:val="000C30AD"/>
    <w:rsid w:val="000C4210"/>
    <w:rsid w:val="000C4294"/>
    <w:rsid w:val="000C585C"/>
    <w:rsid w:val="000D4656"/>
    <w:rsid w:val="000D5790"/>
    <w:rsid w:val="000D5FED"/>
    <w:rsid w:val="000D68FD"/>
    <w:rsid w:val="000D7839"/>
    <w:rsid w:val="000E71D0"/>
    <w:rsid w:val="000F55F6"/>
    <w:rsid w:val="000F64E0"/>
    <w:rsid w:val="000F7964"/>
    <w:rsid w:val="001013AF"/>
    <w:rsid w:val="001062D1"/>
    <w:rsid w:val="00111135"/>
    <w:rsid w:val="0011356F"/>
    <w:rsid w:val="001141D8"/>
    <w:rsid w:val="001146DD"/>
    <w:rsid w:val="00114AF8"/>
    <w:rsid w:val="0011559A"/>
    <w:rsid w:val="0012061A"/>
    <w:rsid w:val="00122668"/>
    <w:rsid w:val="00124F62"/>
    <w:rsid w:val="001265DC"/>
    <w:rsid w:val="00132CB9"/>
    <w:rsid w:val="00132F07"/>
    <w:rsid w:val="00140D8B"/>
    <w:rsid w:val="00144415"/>
    <w:rsid w:val="00150F3F"/>
    <w:rsid w:val="0015215D"/>
    <w:rsid w:val="00156F9C"/>
    <w:rsid w:val="001635F6"/>
    <w:rsid w:val="00166861"/>
    <w:rsid w:val="00166F71"/>
    <w:rsid w:val="00167436"/>
    <w:rsid w:val="00174EBA"/>
    <w:rsid w:val="0017521E"/>
    <w:rsid w:val="00175FB4"/>
    <w:rsid w:val="00182C4F"/>
    <w:rsid w:val="00184279"/>
    <w:rsid w:val="00184C32"/>
    <w:rsid w:val="00185967"/>
    <w:rsid w:val="0018688B"/>
    <w:rsid w:val="00190FB3"/>
    <w:rsid w:val="001A4929"/>
    <w:rsid w:val="001A56D9"/>
    <w:rsid w:val="001B5F5F"/>
    <w:rsid w:val="001B5FA0"/>
    <w:rsid w:val="001B7AE3"/>
    <w:rsid w:val="001C0591"/>
    <w:rsid w:val="001C59AB"/>
    <w:rsid w:val="001C7005"/>
    <w:rsid w:val="001D08F3"/>
    <w:rsid w:val="001D401E"/>
    <w:rsid w:val="001E06FB"/>
    <w:rsid w:val="001E0E42"/>
    <w:rsid w:val="001E16E8"/>
    <w:rsid w:val="001E3C79"/>
    <w:rsid w:val="001E4E45"/>
    <w:rsid w:val="001E56EB"/>
    <w:rsid w:val="001F406E"/>
    <w:rsid w:val="001F7E37"/>
    <w:rsid w:val="002001B8"/>
    <w:rsid w:val="00204C52"/>
    <w:rsid w:val="00206001"/>
    <w:rsid w:val="002117B9"/>
    <w:rsid w:val="002125FE"/>
    <w:rsid w:val="00212E0F"/>
    <w:rsid w:val="00217BD6"/>
    <w:rsid w:val="00223559"/>
    <w:rsid w:val="002240B1"/>
    <w:rsid w:val="00236B04"/>
    <w:rsid w:val="00237D2B"/>
    <w:rsid w:val="002426EF"/>
    <w:rsid w:val="0024400C"/>
    <w:rsid w:val="0024604F"/>
    <w:rsid w:val="00246115"/>
    <w:rsid w:val="0024721C"/>
    <w:rsid w:val="00251824"/>
    <w:rsid w:val="00251F00"/>
    <w:rsid w:val="002520B6"/>
    <w:rsid w:val="00254581"/>
    <w:rsid w:val="00257ED3"/>
    <w:rsid w:val="0026004F"/>
    <w:rsid w:val="00260C7D"/>
    <w:rsid w:val="00261AA0"/>
    <w:rsid w:val="00265F1D"/>
    <w:rsid w:val="0026615D"/>
    <w:rsid w:val="002730A2"/>
    <w:rsid w:val="00275982"/>
    <w:rsid w:val="00275F1E"/>
    <w:rsid w:val="00275FDC"/>
    <w:rsid w:val="0028046B"/>
    <w:rsid w:val="002818E1"/>
    <w:rsid w:val="00281BFB"/>
    <w:rsid w:val="0028223D"/>
    <w:rsid w:val="00282FB7"/>
    <w:rsid w:val="00284E92"/>
    <w:rsid w:val="00285282"/>
    <w:rsid w:val="00286DC7"/>
    <w:rsid w:val="00293086"/>
    <w:rsid w:val="00293E07"/>
    <w:rsid w:val="00293ED2"/>
    <w:rsid w:val="002958EB"/>
    <w:rsid w:val="0029652C"/>
    <w:rsid w:val="002967FF"/>
    <w:rsid w:val="002A197E"/>
    <w:rsid w:val="002A37FC"/>
    <w:rsid w:val="002A43B7"/>
    <w:rsid w:val="002B381B"/>
    <w:rsid w:val="002B4716"/>
    <w:rsid w:val="002B6B39"/>
    <w:rsid w:val="002C06D5"/>
    <w:rsid w:val="002C0C80"/>
    <w:rsid w:val="002C1DFF"/>
    <w:rsid w:val="002C480C"/>
    <w:rsid w:val="002C4D11"/>
    <w:rsid w:val="002C5887"/>
    <w:rsid w:val="002D0B42"/>
    <w:rsid w:val="002D4EC6"/>
    <w:rsid w:val="002D5829"/>
    <w:rsid w:val="002D7779"/>
    <w:rsid w:val="002D77C8"/>
    <w:rsid w:val="002E0BB0"/>
    <w:rsid w:val="002E1729"/>
    <w:rsid w:val="002E2D30"/>
    <w:rsid w:val="002E5EC8"/>
    <w:rsid w:val="002E7F16"/>
    <w:rsid w:val="002F0666"/>
    <w:rsid w:val="002F08E1"/>
    <w:rsid w:val="002F0F48"/>
    <w:rsid w:val="002F447F"/>
    <w:rsid w:val="00300BC4"/>
    <w:rsid w:val="00300F2D"/>
    <w:rsid w:val="00302886"/>
    <w:rsid w:val="00306BFA"/>
    <w:rsid w:val="00310D2A"/>
    <w:rsid w:val="0032157F"/>
    <w:rsid w:val="0032389F"/>
    <w:rsid w:val="00327146"/>
    <w:rsid w:val="003370A1"/>
    <w:rsid w:val="0034418D"/>
    <w:rsid w:val="00345D04"/>
    <w:rsid w:val="00345D09"/>
    <w:rsid w:val="00352EDA"/>
    <w:rsid w:val="0035396B"/>
    <w:rsid w:val="00355174"/>
    <w:rsid w:val="00364117"/>
    <w:rsid w:val="00366B8B"/>
    <w:rsid w:val="00371AFD"/>
    <w:rsid w:val="00374DB8"/>
    <w:rsid w:val="00385CB8"/>
    <w:rsid w:val="00385CE5"/>
    <w:rsid w:val="0038604F"/>
    <w:rsid w:val="00387CAF"/>
    <w:rsid w:val="003936DF"/>
    <w:rsid w:val="0039770F"/>
    <w:rsid w:val="003A24D4"/>
    <w:rsid w:val="003A3068"/>
    <w:rsid w:val="003A693E"/>
    <w:rsid w:val="003A6A24"/>
    <w:rsid w:val="003A70E2"/>
    <w:rsid w:val="003B0F97"/>
    <w:rsid w:val="003B2048"/>
    <w:rsid w:val="003B3560"/>
    <w:rsid w:val="003B78C7"/>
    <w:rsid w:val="003C1BBA"/>
    <w:rsid w:val="003C1E58"/>
    <w:rsid w:val="003C5B29"/>
    <w:rsid w:val="003C791A"/>
    <w:rsid w:val="003E003A"/>
    <w:rsid w:val="003E0201"/>
    <w:rsid w:val="003E3F99"/>
    <w:rsid w:val="003E406F"/>
    <w:rsid w:val="003E59CF"/>
    <w:rsid w:val="003F4AAD"/>
    <w:rsid w:val="003F60EA"/>
    <w:rsid w:val="004001BC"/>
    <w:rsid w:val="00403626"/>
    <w:rsid w:val="00410D62"/>
    <w:rsid w:val="004112C0"/>
    <w:rsid w:val="0042183C"/>
    <w:rsid w:val="0042255F"/>
    <w:rsid w:val="004329C4"/>
    <w:rsid w:val="00432ACA"/>
    <w:rsid w:val="0043767F"/>
    <w:rsid w:val="00440D65"/>
    <w:rsid w:val="00443EFE"/>
    <w:rsid w:val="00451C25"/>
    <w:rsid w:val="00452FD6"/>
    <w:rsid w:val="00454311"/>
    <w:rsid w:val="00457545"/>
    <w:rsid w:val="00461B2F"/>
    <w:rsid w:val="00462B62"/>
    <w:rsid w:val="00464434"/>
    <w:rsid w:val="00464B72"/>
    <w:rsid w:val="00466300"/>
    <w:rsid w:val="004664C3"/>
    <w:rsid w:val="00466ABC"/>
    <w:rsid w:val="004678CA"/>
    <w:rsid w:val="00471A22"/>
    <w:rsid w:val="00482A03"/>
    <w:rsid w:val="004900F3"/>
    <w:rsid w:val="00490581"/>
    <w:rsid w:val="00491EA1"/>
    <w:rsid w:val="0049367E"/>
    <w:rsid w:val="00497908"/>
    <w:rsid w:val="004A01E8"/>
    <w:rsid w:val="004A5B66"/>
    <w:rsid w:val="004B0979"/>
    <w:rsid w:val="004B3D1A"/>
    <w:rsid w:val="004B5A43"/>
    <w:rsid w:val="004C2C37"/>
    <w:rsid w:val="004D07CC"/>
    <w:rsid w:val="004D16D5"/>
    <w:rsid w:val="004D62D2"/>
    <w:rsid w:val="004D68AD"/>
    <w:rsid w:val="004D6A3C"/>
    <w:rsid w:val="004D7C3B"/>
    <w:rsid w:val="004E0237"/>
    <w:rsid w:val="004E0A16"/>
    <w:rsid w:val="004E46E9"/>
    <w:rsid w:val="004E5A7E"/>
    <w:rsid w:val="004E7185"/>
    <w:rsid w:val="004F64D6"/>
    <w:rsid w:val="00502E72"/>
    <w:rsid w:val="0050412F"/>
    <w:rsid w:val="00512047"/>
    <w:rsid w:val="00512ADF"/>
    <w:rsid w:val="0051329D"/>
    <w:rsid w:val="005136A0"/>
    <w:rsid w:val="0051644B"/>
    <w:rsid w:val="00517B59"/>
    <w:rsid w:val="00520076"/>
    <w:rsid w:val="005229AB"/>
    <w:rsid w:val="00531CF4"/>
    <w:rsid w:val="00531D93"/>
    <w:rsid w:val="005323BE"/>
    <w:rsid w:val="005352C0"/>
    <w:rsid w:val="005369D7"/>
    <w:rsid w:val="00537747"/>
    <w:rsid w:val="00541459"/>
    <w:rsid w:val="00541512"/>
    <w:rsid w:val="00541D5B"/>
    <w:rsid w:val="00550E80"/>
    <w:rsid w:val="00552477"/>
    <w:rsid w:val="00552FCF"/>
    <w:rsid w:val="0055434C"/>
    <w:rsid w:val="00561829"/>
    <w:rsid w:val="005631C3"/>
    <w:rsid w:val="00563FF4"/>
    <w:rsid w:val="00566AB7"/>
    <w:rsid w:val="00577005"/>
    <w:rsid w:val="00580984"/>
    <w:rsid w:val="00580A25"/>
    <w:rsid w:val="0058421C"/>
    <w:rsid w:val="00585A4F"/>
    <w:rsid w:val="005860D9"/>
    <w:rsid w:val="005878DD"/>
    <w:rsid w:val="00591DBB"/>
    <w:rsid w:val="00592299"/>
    <w:rsid w:val="00592402"/>
    <w:rsid w:val="00592D9C"/>
    <w:rsid w:val="005A3A4C"/>
    <w:rsid w:val="005A4560"/>
    <w:rsid w:val="005B4D77"/>
    <w:rsid w:val="005C01D2"/>
    <w:rsid w:val="005C2765"/>
    <w:rsid w:val="005C3C3C"/>
    <w:rsid w:val="005C4360"/>
    <w:rsid w:val="005C6332"/>
    <w:rsid w:val="005C6C24"/>
    <w:rsid w:val="005C72CD"/>
    <w:rsid w:val="005D05E5"/>
    <w:rsid w:val="005D06CC"/>
    <w:rsid w:val="005D3204"/>
    <w:rsid w:val="005D4DD1"/>
    <w:rsid w:val="005D5EEB"/>
    <w:rsid w:val="005E2C9B"/>
    <w:rsid w:val="005E2EC7"/>
    <w:rsid w:val="005E36C1"/>
    <w:rsid w:val="005E49BA"/>
    <w:rsid w:val="005F30E1"/>
    <w:rsid w:val="005F709A"/>
    <w:rsid w:val="00601B86"/>
    <w:rsid w:val="006020AF"/>
    <w:rsid w:val="00603782"/>
    <w:rsid w:val="00606E7D"/>
    <w:rsid w:val="00606F29"/>
    <w:rsid w:val="00607408"/>
    <w:rsid w:val="00612A79"/>
    <w:rsid w:val="00617929"/>
    <w:rsid w:val="00624E73"/>
    <w:rsid w:val="00625117"/>
    <w:rsid w:val="00625DBC"/>
    <w:rsid w:val="00626706"/>
    <w:rsid w:val="00633A16"/>
    <w:rsid w:val="00634853"/>
    <w:rsid w:val="00634896"/>
    <w:rsid w:val="00634A82"/>
    <w:rsid w:val="006367C0"/>
    <w:rsid w:val="00647BF0"/>
    <w:rsid w:val="00654588"/>
    <w:rsid w:val="00655594"/>
    <w:rsid w:val="00661253"/>
    <w:rsid w:val="00661892"/>
    <w:rsid w:val="00662194"/>
    <w:rsid w:val="00670CB1"/>
    <w:rsid w:val="006714A0"/>
    <w:rsid w:val="0067422C"/>
    <w:rsid w:val="00674476"/>
    <w:rsid w:val="00674AAF"/>
    <w:rsid w:val="00675B1B"/>
    <w:rsid w:val="0067607F"/>
    <w:rsid w:val="006807CC"/>
    <w:rsid w:val="00682F1F"/>
    <w:rsid w:val="00683345"/>
    <w:rsid w:val="0068616F"/>
    <w:rsid w:val="00686CF4"/>
    <w:rsid w:val="0069258A"/>
    <w:rsid w:val="00693C44"/>
    <w:rsid w:val="00695E5E"/>
    <w:rsid w:val="006A32B9"/>
    <w:rsid w:val="006A4F83"/>
    <w:rsid w:val="006A63F9"/>
    <w:rsid w:val="006B0A47"/>
    <w:rsid w:val="006B114D"/>
    <w:rsid w:val="006B16DD"/>
    <w:rsid w:val="006B3391"/>
    <w:rsid w:val="006B635B"/>
    <w:rsid w:val="006B6EBE"/>
    <w:rsid w:val="006C3D4A"/>
    <w:rsid w:val="006C449A"/>
    <w:rsid w:val="006C5971"/>
    <w:rsid w:val="006C62BD"/>
    <w:rsid w:val="006D189F"/>
    <w:rsid w:val="006D1EF1"/>
    <w:rsid w:val="006D68E0"/>
    <w:rsid w:val="006E2861"/>
    <w:rsid w:val="006E2DCD"/>
    <w:rsid w:val="006E5816"/>
    <w:rsid w:val="006F06A0"/>
    <w:rsid w:val="006F3F08"/>
    <w:rsid w:val="007014E6"/>
    <w:rsid w:val="00703171"/>
    <w:rsid w:val="00705FA6"/>
    <w:rsid w:val="00706617"/>
    <w:rsid w:val="00706A7F"/>
    <w:rsid w:val="007076EF"/>
    <w:rsid w:val="00710F25"/>
    <w:rsid w:val="00717324"/>
    <w:rsid w:val="0072455B"/>
    <w:rsid w:val="00725E13"/>
    <w:rsid w:val="007326D4"/>
    <w:rsid w:val="00736585"/>
    <w:rsid w:val="0073765B"/>
    <w:rsid w:val="00742036"/>
    <w:rsid w:val="007434AC"/>
    <w:rsid w:val="00747126"/>
    <w:rsid w:val="0075095C"/>
    <w:rsid w:val="00751E88"/>
    <w:rsid w:val="00753387"/>
    <w:rsid w:val="00754C88"/>
    <w:rsid w:val="00757A3F"/>
    <w:rsid w:val="007640FE"/>
    <w:rsid w:val="00770B4C"/>
    <w:rsid w:val="00771251"/>
    <w:rsid w:val="00773AAB"/>
    <w:rsid w:val="00775E16"/>
    <w:rsid w:val="00781238"/>
    <w:rsid w:val="00781D70"/>
    <w:rsid w:val="00782A9B"/>
    <w:rsid w:val="007830E7"/>
    <w:rsid w:val="00790531"/>
    <w:rsid w:val="00790E9B"/>
    <w:rsid w:val="0079250E"/>
    <w:rsid w:val="00792ECE"/>
    <w:rsid w:val="00792F37"/>
    <w:rsid w:val="007A13F6"/>
    <w:rsid w:val="007A354E"/>
    <w:rsid w:val="007A6E6F"/>
    <w:rsid w:val="007B0283"/>
    <w:rsid w:val="007B1B45"/>
    <w:rsid w:val="007B20DD"/>
    <w:rsid w:val="007B2567"/>
    <w:rsid w:val="007B2741"/>
    <w:rsid w:val="007B54E0"/>
    <w:rsid w:val="007B5BB2"/>
    <w:rsid w:val="007B6E2A"/>
    <w:rsid w:val="007C69D0"/>
    <w:rsid w:val="007D2192"/>
    <w:rsid w:val="007D4408"/>
    <w:rsid w:val="007D74D5"/>
    <w:rsid w:val="007E4DE6"/>
    <w:rsid w:val="007E6CDD"/>
    <w:rsid w:val="007F13AB"/>
    <w:rsid w:val="007F1561"/>
    <w:rsid w:val="007F2FE9"/>
    <w:rsid w:val="007F5890"/>
    <w:rsid w:val="007F7F38"/>
    <w:rsid w:val="008014DA"/>
    <w:rsid w:val="00802ECA"/>
    <w:rsid w:val="00811344"/>
    <w:rsid w:val="0081370C"/>
    <w:rsid w:val="00814D2B"/>
    <w:rsid w:val="008173D0"/>
    <w:rsid w:val="0081778B"/>
    <w:rsid w:val="0082036C"/>
    <w:rsid w:val="00821380"/>
    <w:rsid w:val="00824654"/>
    <w:rsid w:val="00824D18"/>
    <w:rsid w:val="0083179A"/>
    <w:rsid w:val="00831B7D"/>
    <w:rsid w:val="00842064"/>
    <w:rsid w:val="00842687"/>
    <w:rsid w:val="0084290C"/>
    <w:rsid w:val="00843BB8"/>
    <w:rsid w:val="0085202E"/>
    <w:rsid w:val="00856BE4"/>
    <w:rsid w:val="00860DA3"/>
    <w:rsid w:val="00865458"/>
    <w:rsid w:val="00866DDD"/>
    <w:rsid w:val="00871766"/>
    <w:rsid w:val="00872092"/>
    <w:rsid w:val="00872873"/>
    <w:rsid w:val="00874BB3"/>
    <w:rsid w:val="008753CF"/>
    <w:rsid w:val="008772B7"/>
    <w:rsid w:val="00880E20"/>
    <w:rsid w:val="00881769"/>
    <w:rsid w:val="00882E1D"/>
    <w:rsid w:val="008848B1"/>
    <w:rsid w:val="00885E0C"/>
    <w:rsid w:val="008942F4"/>
    <w:rsid w:val="00895739"/>
    <w:rsid w:val="00895809"/>
    <w:rsid w:val="00895F80"/>
    <w:rsid w:val="008972B1"/>
    <w:rsid w:val="008974F3"/>
    <w:rsid w:val="008A26A0"/>
    <w:rsid w:val="008A3A39"/>
    <w:rsid w:val="008A3F07"/>
    <w:rsid w:val="008B26B4"/>
    <w:rsid w:val="008B352B"/>
    <w:rsid w:val="008B4539"/>
    <w:rsid w:val="008C14E5"/>
    <w:rsid w:val="008C2621"/>
    <w:rsid w:val="008C390B"/>
    <w:rsid w:val="008C42CD"/>
    <w:rsid w:val="008C5188"/>
    <w:rsid w:val="008C5675"/>
    <w:rsid w:val="008C6651"/>
    <w:rsid w:val="008D009F"/>
    <w:rsid w:val="008E3D2C"/>
    <w:rsid w:val="008E5B6C"/>
    <w:rsid w:val="008F01FC"/>
    <w:rsid w:val="008F034B"/>
    <w:rsid w:val="008F0AAC"/>
    <w:rsid w:val="008F1B4D"/>
    <w:rsid w:val="008F2C02"/>
    <w:rsid w:val="008F2CFF"/>
    <w:rsid w:val="008F7EA7"/>
    <w:rsid w:val="00901841"/>
    <w:rsid w:val="009044FF"/>
    <w:rsid w:val="00904E04"/>
    <w:rsid w:val="00911FF4"/>
    <w:rsid w:val="00914465"/>
    <w:rsid w:val="0091784B"/>
    <w:rsid w:val="00920635"/>
    <w:rsid w:val="00920BE7"/>
    <w:rsid w:val="00921FC7"/>
    <w:rsid w:val="00927365"/>
    <w:rsid w:val="00932333"/>
    <w:rsid w:val="00935219"/>
    <w:rsid w:val="00941B66"/>
    <w:rsid w:val="00943336"/>
    <w:rsid w:val="00945854"/>
    <w:rsid w:val="00946C47"/>
    <w:rsid w:val="009522F7"/>
    <w:rsid w:val="00953475"/>
    <w:rsid w:val="0095564E"/>
    <w:rsid w:val="00956547"/>
    <w:rsid w:val="00962A05"/>
    <w:rsid w:val="00965609"/>
    <w:rsid w:val="0096608A"/>
    <w:rsid w:val="0096799A"/>
    <w:rsid w:val="00967B91"/>
    <w:rsid w:val="0097035C"/>
    <w:rsid w:val="00971AF5"/>
    <w:rsid w:val="0097409A"/>
    <w:rsid w:val="00976C95"/>
    <w:rsid w:val="00977641"/>
    <w:rsid w:val="00977AE0"/>
    <w:rsid w:val="0098288E"/>
    <w:rsid w:val="00983E80"/>
    <w:rsid w:val="00985CC6"/>
    <w:rsid w:val="009902A1"/>
    <w:rsid w:val="00993D91"/>
    <w:rsid w:val="00994AF6"/>
    <w:rsid w:val="00997139"/>
    <w:rsid w:val="009A1D96"/>
    <w:rsid w:val="009A48D4"/>
    <w:rsid w:val="009A7442"/>
    <w:rsid w:val="009B0753"/>
    <w:rsid w:val="009B11D8"/>
    <w:rsid w:val="009B5547"/>
    <w:rsid w:val="009B6014"/>
    <w:rsid w:val="009B7F16"/>
    <w:rsid w:val="009C075D"/>
    <w:rsid w:val="009C5621"/>
    <w:rsid w:val="009C7F14"/>
    <w:rsid w:val="009D025D"/>
    <w:rsid w:val="009D233E"/>
    <w:rsid w:val="009D31EC"/>
    <w:rsid w:val="009D5A72"/>
    <w:rsid w:val="009E408E"/>
    <w:rsid w:val="009E4572"/>
    <w:rsid w:val="009E7575"/>
    <w:rsid w:val="009F105C"/>
    <w:rsid w:val="009F15E7"/>
    <w:rsid w:val="009F196F"/>
    <w:rsid w:val="009F274E"/>
    <w:rsid w:val="009F35CD"/>
    <w:rsid w:val="009F47B3"/>
    <w:rsid w:val="00A06149"/>
    <w:rsid w:val="00A0629B"/>
    <w:rsid w:val="00A10255"/>
    <w:rsid w:val="00A12517"/>
    <w:rsid w:val="00A12551"/>
    <w:rsid w:val="00A12BAB"/>
    <w:rsid w:val="00A13F0B"/>
    <w:rsid w:val="00A17001"/>
    <w:rsid w:val="00A176AA"/>
    <w:rsid w:val="00A201A3"/>
    <w:rsid w:val="00A2466A"/>
    <w:rsid w:val="00A24875"/>
    <w:rsid w:val="00A27372"/>
    <w:rsid w:val="00A31C14"/>
    <w:rsid w:val="00A31F0C"/>
    <w:rsid w:val="00A323CB"/>
    <w:rsid w:val="00A33E4A"/>
    <w:rsid w:val="00A344ED"/>
    <w:rsid w:val="00A425AB"/>
    <w:rsid w:val="00A4481B"/>
    <w:rsid w:val="00A44A37"/>
    <w:rsid w:val="00A462E8"/>
    <w:rsid w:val="00A47FCD"/>
    <w:rsid w:val="00A54E85"/>
    <w:rsid w:val="00A54FA6"/>
    <w:rsid w:val="00A55BAF"/>
    <w:rsid w:val="00A63543"/>
    <w:rsid w:val="00A66644"/>
    <w:rsid w:val="00A714B6"/>
    <w:rsid w:val="00A73BB9"/>
    <w:rsid w:val="00A74CD5"/>
    <w:rsid w:val="00A74D49"/>
    <w:rsid w:val="00A758B5"/>
    <w:rsid w:val="00A77A0A"/>
    <w:rsid w:val="00A840D5"/>
    <w:rsid w:val="00A91E08"/>
    <w:rsid w:val="00A93515"/>
    <w:rsid w:val="00A959F1"/>
    <w:rsid w:val="00A96985"/>
    <w:rsid w:val="00A97129"/>
    <w:rsid w:val="00A97D53"/>
    <w:rsid w:val="00AA15B2"/>
    <w:rsid w:val="00AA2003"/>
    <w:rsid w:val="00AA3E59"/>
    <w:rsid w:val="00AA69D2"/>
    <w:rsid w:val="00AB1473"/>
    <w:rsid w:val="00AB336C"/>
    <w:rsid w:val="00AB6698"/>
    <w:rsid w:val="00AB6E9C"/>
    <w:rsid w:val="00AB7DB1"/>
    <w:rsid w:val="00AC3A00"/>
    <w:rsid w:val="00AC5B79"/>
    <w:rsid w:val="00AC62A5"/>
    <w:rsid w:val="00AC6DF8"/>
    <w:rsid w:val="00AD08F0"/>
    <w:rsid w:val="00AD1D8B"/>
    <w:rsid w:val="00AD30C6"/>
    <w:rsid w:val="00AD3963"/>
    <w:rsid w:val="00AD4DD9"/>
    <w:rsid w:val="00AF11EE"/>
    <w:rsid w:val="00AF254B"/>
    <w:rsid w:val="00AF3577"/>
    <w:rsid w:val="00B01460"/>
    <w:rsid w:val="00B0179B"/>
    <w:rsid w:val="00B022DB"/>
    <w:rsid w:val="00B077A8"/>
    <w:rsid w:val="00B133BB"/>
    <w:rsid w:val="00B148BF"/>
    <w:rsid w:val="00B14FED"/>
    <w:rsid w:val="00B15D9B"/>
    <w:rsid w:val="00B15EE3"/>
    <w:rsid w:val="00B2047D"/>
    <w:rsid w:val="00B22689"/>
    <w:rsid w:val="00B27B61"/>
    <w:rsid w:val="00B3629E"/>
    <w:rsid w:val="00B37EEB"/>
    <w:rsid w:val="00B44499"/>
    <w:rsid w:val="00B464CB"/>
    <w:rsid w:val="00B4722F"/>
    <w:rsid w:val="00B53CF6"/>
    <w:rsid w:val="00B56430"/>
    <w:rsid w:val="00B57D96"/>
    <w:rsid w:val="00B60EBB"/>
    <w:rsid w:val="00B6209D"/>
    <w:rsid w:val="00B62C50"/>
    <w:rsid w:val="00B63D5A"/>
    <w:rsid w:val="00B6594B"/>
    <w:rsid w:val="00B6706E"/>
    <w:rsid w:val="00B70FF6"/>
    <w:rsid w:val="00B742B5"/>
    <w:rsid w:val="00B77D91"/>
    <w:rsid w:val="00B807B3"/>
    <w:rsid w:val="00B807FC"/>
    <w:rsid w:val="00B812E5"/>
    <w:rsid w:val="00B834FC"/>
    <w:rsid w:val="00B83758"/>
    <w:rsid w:val="00B86C86"/>
    <w:rsid w:val="00B95B93"/>
    <w:rsid w:val="00B970B4"/>
    <w:rsid w:val="00BB562E"/>
    <w:rsid w:val="00BB5E4C"/>
    <w:rsid w:val="00BC1E2F"/>
    <w:rsid w:val="00BC2537"/>
    <w:rsid w:val="00BD1331"/>
    <w:rsid w:val="00BD14D7"/>
    <w:rsid w:val="00BD2944"/>
    <w:rsid w:val="00BD36A0"/>
    <w:rsid w:val="00BE0588"/>
    <w:rsid w:val="00BE1BE1"/>
    <w:rsid w:val="00BE3533"/>
    <w:rsid w:val="00BE4E4B"/>
    <w:rsid w:val="00BE65D4"/>
    <w:rsid w:val="00BE6DD4"/>
    <w:rsid w:val="00BE7960"/>
    <w:rsid w:val="00BF19AB"/>
    <w:rsid w:val="00BF1FC1"/>
    <w:rsid w:val="00BF4150"/>
    <w:rsid w:val="00C01F9F"/>
    <w:rsid w:val="00C02E1C"/>
    <w:rsid w:val="00C0604F"/>
    <w:rsid w:val="00C06706"/>
    <w:rsid w:val="00C11029"/>
    <w:rsid w:val="00C11181"/>
    <w:rsid w:val="00C12505"/>
    <w:rsid w:val="00C166DD"/>
    <w:rsid w:val="00C1785F"/>
    <w:rsid w:val="00C22606"/>
    <w:rsid w:val="00C238C5"/>
    <w:rsid w:val="00C247D4"/>
    <w:rsid w:val="00C303DB"/>
    <w:rsid w:val="00C308E0"/>
    <w:rsid w:val="00C31642"/>
    <w:rsid w:val="00C33DDD"/>
    <w:rsid w:val="00C40209"/>
    <w:rsid w:val="00C45FBA"/>
    <w:rsid w:val="00C473D1"/>
    <w:rsid w:val="00C50CBE"/>
    <w:rsid w:val="00C54EBE"/>
    <w:rsid w:val="00C566FF"/>
    <w:rsid w:val="00C57B80"/>
    <w:rsid w:val="00C61185"/>
    <w:rsid w:val="00C679F5"/>
    <w:rsid w:val="00C75D9E"/>
    <w:rsid w:val="00C80B91"/>
    <w:rsid w:val="00C8288B"/>
    <w:rsid w:val="00C84B50"/>
    <w:rsid w:val="00C85469"/>
    <w:rsid w:val="00C859F9"/>
    <w:rsid w:val="00C91751"/>
    <w:rsid w:val="00C92A7E"/>
    <w:rsid w:val="00C93DDE"/>
    <w:rsid w:val="00CA19DF"/>
    <w:rsid w:val="00CB2FB2"/>
    <w:rsid w:val="00CB7946"/>
    <w:rsid w:val="00CB7A18"/>
    <w:rsid w:val="00CC60E7"/>
    <w:rsid w:val="00CC64C7"/>
    <w:rsid w:val="00CC7487"/>
    <w:rsid w:val="00CD34FC"/>
    <w:rsid w:val="00CD706B"/>
    <w:rsid w:val="00CE1EF8"/>
    <w:rsid w:val="00CE213B"/>
    <w:rsid w:val="00CF009D"/>
    <w:rsid w:val="00CF0AA6"/>
    <w:rsid w:val="00CF59BB"/>
    <w:rsid w:val="00CF5A2C"/>
    <w:rsid w:val="00CF6633"/>
    <w:rsid w:val="00D05DD2"/>
    <w:rsid w:val="00D076D0"/>
    <w:rsid w:val="00D079CE"/>
    <w:rsid w:val="00D134B7"/>
    <w:rsid w:val="00D13894"/>
    <w:rsid w:val="00D20FAA"/>
    <w:rsid w:val="00D21547"/>
    <w:rsid w:val="00D21D09"/>
    <w:rsid w:val="00D30573"/>
    <w:rsid w:val="00D31FF2"/>
    <w:rsid w:val="00D36A8C"/>
    <w:rsid w:val="00D428F4"/>
    <w:rsid w:val="00D43181"/>
    <w:rsid w:val="00D44D7F"/>
    <w:rsid w:val="00D4536C"/>
    <w:rsid w:val="00D45C41"/>
    <w:rsid w:val="00D461DE"/>
    <w:rsid w:val="00D50DE5"/>
    <w:rsid w:val="00D54B27"/>
    <w:rsid w:val="00D54CC0"/>
    <w:rsid w:val="00D63173"/>
    <w:rsid w:val="00D63DA8"/>
    <w:rsid w:val="00D73A86"/>
    <w:rsid w:val="00D74BA3"/>
    <w:rsid w:val="00D804D2"/>
    <w:rsid w:val="00D81E2F"/>
    <w:rsid w:val="00D83060"/>
    <w:rsid w:val="00D84A2D"/>
    <w:rsid w:val="00D8703D"/>
    <w:rsid w:val="00D8749B"/>
    <w:rsid w:val="00DA4CF2"/>
    <w:rsid w:val="00DA5880"/>
    <w:rsid w:val="00DB11D4"/>
    <w:rsid w:val="00DB227F"/>
    <w:rsid w:val="00DB61A6"/>
    <w:rsid w:val="00DB763A"/>
    <w:rsid w:val="00DB78EA"/>
    <w:rsid w:val="00DC3AC1"/>
    <w:rsid w:val="00DC4D4D"/>
    <w:rsid w:val="00DC5105"/>
    <w:rsid w:val="00DD20D1"/>
    <w:rsid w:val="00DD51F8"/>
    <w:rsid w:val="00DD64C5"/>
    <w:rsid w:val="00DE14E2"/>
    <w:rsid w:val="00DE15AC"/>
    <w:rsid w:val="00DE2C36"/>
    <w:rsid w:val="00DE2F94"/>
    <w:rsid w:val="00DE3500"/>
    <w:rsid w:val="00DE4595"/>
    <w:rsid w:val="00DE6B35"/>
    <w:rsid w:val="00DE70C2"/>
    <w:rsid w:val="00DF0675"/>
    <w:rsid w:val="00DF3013"/>
    <w:rsid w:val="00DF4FE6"/>
    <w:rsid w:val="00DF580D"/>
    <w:rsid w:val="00DF6FDA"/>
    <w:rsid w:val="00DF7E2B"/>
    <w:rsid w:val="00E05885"/>
    <w:rsid w:val="00E10BFB"/>
    <w:rsid w:val="00E1249A"/>
    <w:rsid w:val="00E12880"/>
    <w:rsid w:val="00E14D9E"/>
    <w:rsid w:val="00E16DA6"/>
    <w:rsid w:val="00E21904"/>
    <w:rsid w:val="00E21E99"/>
    <w:rsid w:val="00E2228E"/>
    <w:rsid w:val="00E23E56"/>
    <w:rsid w:val="00E30FFC"/>
    <w:rsid w:val="00E324C1"/>
    <w:rsid w:val="00E327A1"/>
    <w:rsid w:val="00E33EF0"/>
    <w:rsid w:val="00E370BF"/>
    <w:rsid w:val="00E37CB8"/>
    <w:rsid w:val="00E4016D"/>
    <w:rsid w:val="00E510C4"/>
    <w:rsid w:val="00E530B7"/>
    <w:rsid w:val="00E54066"/>
    <w:rsid w:val="00E57168"/>
    <w:rsid w:val="00E611A2"/>
    <w:rsid w:val="00E61BAB"/>
    <w:rsid w:val="00E729CB"/>
    <w:rsid w:val="00E73C50"/>
    <w:rsid w:val="00E777C8"/>
    <w:rsid w:val="00E8011B"/>
    <w:rsid w:val="00E81EE4"/>
    <w:rsid w:val="00E82DCD"/>
    <w:rsid w:val="00E83444"/>
    <w:rsid w:val="00E849E6"/>
    <w:rsid w:val="00E84DD9"/>
    <w:rsid w:val="00E870C1"/>
    <w:rsid w:val="00E909E6"/>
    <w:rsid w:val="00E90A8E"/>
    <w:rsid w:val="00E90B70"/>
    <w:rsid w:val="00E924EC"/>
    <w:rsid w:val="00E93BB0"/>
    <w:rsid w:val="00E97E34"/>
    <w:rsid w:val="00EA27C3"/>
    <w:rsid w:val="00EA2BEE"/>
    <w:rsid w:val="00EA5F36"/>
    <w:rsid w:val="00EA7A70"/>
    <w:rsid w:val="00EB15F9"/>
    <w:rsid w:val="00EB2AAE"/>
    <w:rsid w:val="00EB3D95"/>
    <w:rsid w:val="00EB57CA"/>
    <w:rsid w:val="00EC07F6"/>
    <w:rsid w:val="00EC07FA"/>
    <w:rsid w:val="00EC247E"/>
    <w:rsid w:val="00EC5B03"/>
    <w:rsid w:val="00ED7B80"/>
    <w:rsid w:val="00EE087B"/>
    <w:rsid w:val="00EE0CC2"/>
    <w:rsid w:val="00EE18F8"/>
    <w:rsid w:val="00EE1DDC"/>
    <w:rsid w:val="00EE31D9"/>
    <w:rsid w:val="00EF0C53"/>
    <w:rsid w:val="00EF368A"/>
    <w:rsid w:val="00EF4FE0"/>
    <w:rsid w:val="00EF6F9D"/>
    <w:rsid w:val="00EF7495"/>
    <w:rsid w:val="00F038F0"/>
    <w:rsid w:val="00F04E2C"/>
    <w:rsid w:val="00F06CE8"/>
    <w:rsid w:val="00F0783D"/>
    <w:rsid w:val="00F1223A"/>
    <w:rsid w:val="00F12E5F"/>
    <w:rsid w:val="00F14E08"/>
    <w:rsid w:val="00F203B0"/>
    <w:rsid w:val="00F20CD7"/>
    <w:rsid w:val="00F21099"/>
    <w:rsid w:val="00F210E9"/>
    <w:rsid w:val="00F2150A"/>
    <w:rsid w:val="00F22AF0"/>
    <w:rsid w:val="00F33929"/>
    <w:rsid w:val="00F35767"/>
    <w:rsid w:val="00F35BB4"/>
    <w:rsid w:val="00F40E37"/>
    <w:rsid w:val="00F42C1C"/>
    <w:rsid w:val="00F4744B"/>
    <w:rsid w:val="00F504FB"/>
    <w:rsid w:val="00F55691"/>
    <w:rsid w:val="00F55B87"/>
    <w:rsid w:val="00F6361F"/>
    <w:rsid w:val="00F64B86"/>
    <w:rsid w:val="00F65724"/>
    <w:rsid w:val="00F66561"/>
    <w:rsid w:val="00F71390"/>
    <w:rsid w:val="00F72F62"/>
    <w:rsid w:val="00F73E1F"/>
    <w:rsid w:val="00F75F73"/>
    <w:rsid w:val="00F77459"/>
    <w:rsid w:val="00F809EE"/>
    <w:rsid w:val="00F844E6"/>
    <w:rsid w:val="00F849DE"/>
    <w:rsid w:val="00F84BE4"/>
    <w:rsid w:val="00F865A3"/>
    <w:rsid w:val="00F909DB"/>
    <w:rsid w:val="00F9314E"/>
    <w:rsid w:val="00F9432D"/>
    <w:rsid w:val="00F9475F"/>
    <w:rsid w:val="00F95AC5"/>
    <w:rsid w:val="00FA2531"/>
    <w:rsid w:val="00FA4C1B"/>
    <w:rsid w:val="00FA5355"/>
    <w:rsid w:val="00FB35B4"/>
    <w:rsid w:val="00FB4542"/>
    <w:rsid w:val="00FB6C2F"/>
    <w:rsid w:val="00FC0091"/>
    <w:rsid w:val="00FC10E9"/>
    <w:rsid w:val="00FC3539"/>
    <w:rsid w:val="00FC4FD5"/>
    <w:rsid w:val="00FC4FF0"/>
    <w:rsid w:val="00FC57BC"/>
    <w:rsid w:val="00FC5D7E"/>
    <w:rsid w:val="00FD01DC"/>
    <w:rsid w:val="00FD01E1"/>
    <w:rsid w:val="00FD13B2"/>
    <w:rsid w:val="00FD4DFC"/>
    <w:rsid w:val="00FD6173"/>
    <w:rsid w:val="00FE0A40"/>
    <w:rsid w:val="00FE3132"/>
    <w:rsid w:val="00FE47F2"/>
    <w:rsid w:val="00FE6C0D"/>
    <w:rsid w:val="00FF10DD"/>
    <w:rsid w:val="00FF3240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89817EE"/>
  <w15:docId w15:val="{E74CE97A-50E6-4BCC-AC12-AFDA3263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FBF"/>
    <w:pPr>
      <w:spacing w:after="200" w:line="276" w:lineRule="auto"/>
    </w:pPr>
    <w:rPr>
      <w:rFonts w:ascii="Arial" w:eastAsia="Arial" w:hAnsi="Arial" w:cs="Arial"/>
      <w:lang w:eastAsia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1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4A2D"/>
    <w:pPr>
      <w:keepNext/>
      <w:keepLines/>
      <w:spacing w:after="100"/>
      <w:outlineLvl w:val="1"/>
    </w:pPr>
    <w:rPr>
      <w:rFonts w:ascii="Calibri" w:eastAsia="Calibri" w:hAnsi="Calibri" w:cs="Calibri"/>
      <w:b/>
      <w:smallCaps/>
      <w:color w:val="008B98"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A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84A2D"/>
    <w:rPr>
      <w:rFonts w:ascii="Calibri" w:eastAsia="Calibri" w:hAnsi="Calibri" w:cs="Calibri"/>
      <w:b/>
      <w:smallCaps/>
      <w:color w:val="008B98"/>
      <w:sz w:val="18"/>
      <w:szCs w:val="18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D84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A2D"/>
    <w:rPr>
      <w:rFonts w:ascii="Arial" w:eastAsia="Arial" w:hAnsi="Arial" w:cs="Arial"/>
      <w:lang w:eastAsia="pl-PL"/>
    </w:rPr>
  </w:style>
  <w:style w:type="character" w:styleId="Hyperlink">
    <w:name w:val="Hyperlink"/>
    <w:basedOn w:val="DefaultParagraphFont"/>
    <w:unhideWhenUsed/>
    <w:qFormat/>
    <w:rsid w:val="00D84A2D"/>
    <w:rPr>
      <w:color w:val="4472C4" w:themeColor="accent1"/>
      <w:u w:val="single"/>
    </w:rPr>
  </w:style>
  <w:style w:type="table" w:styleId="TableGrid">
    <w:name w:val="Table Grid"/>
    <w:basedOn w:val="TableNormal"/>
    <w:uiPriority w:val="59"/>
    <w:rsid w:val="00D84A2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Name">
    <w:name w:val="ContactName"/>
    <w:basedOn w:val="Heading3"/>
    <w:qFormat/>
    <w:rsid w:val="00D84A2D"/>
    <w:pPr>
      <w:spacing w:before="0" w:line="216" w:lineRule="atLeast"/>
    </w:pPr>
    <w:rPr>
      <w:rFonts w:ascii="Calibri" w:eastAsia="Times New Roman" w:hAnsi="Calibri" w:cs="Times New Roman"/>
      <w:b/>
      <w:bCs/>
      <w:color w:val="008B98"/>
      <w:sz w:val="18"/>
      <w:lang w:val="en-GB" w:eastAsia="en-GB"/>
    </w:rPr>
  </w:style>
  <w:style w:type="paragraph" w:customStyle="1" w:styleId="ContactDetail">
    <w:name w:val="ContactDetail"/>
    <w:basedOn w:val="Normal"/>
    <w:rsid w:val="00D84A2D"/>
    <w:pPr>
      <w:spacing w:after="0" w:line="216" w:lineRule="atLeast"/>
    </w:pPr>
    <w:rPr>
      <w:rFonts w:ascii="Calibri" w:eastAsia="Times New Roman" w:hAnsi="Calibri" w:cs="Times New Roman"/>
      <w:color w:val="000000"/>
      <w:sz w:val="18"/>
      <w:szCs w:val="24"/>
      <w:lang w:val="en-GB" w:eastAsia="en-GB"/>
    </w:rPr>
  </w:style>
  <w:style w:type="character" w:customStyle="1" w:styleId="Brak">
    <w:name w:val="Brak"/>
    <w:rsid w:val="00D84A2D"/>
  </w:style>
  <w:style w:type="character" w:customStyle="1" w:styleId="Hyperlink0">
    <w:name w:val="Hyperlink.0"/>
    <w:basedOn w:val="Brak"/>
    <w:rsid w:val="00D84A2D"/>
  </w:style>
  <w:style w:type="table" w:customStyle="1" w:styleId="PlainTable41">
    <w:name w:val="Plain Table 41"/>
    <w:basedOn w:val="TableNormal"/>
    <w:uiPriority w:val="44"/>
    <w:rsid w:val="00D84A2D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D84A2D"/>
    <w:pPr>
      <w:spacing w:after="0" w:line="240" w:lineRule="auto"/>
    </w:pPr>
    <w:rPr>
      <w:rFonts w:ascii="Calibri" w:eastAsia="Times New Roman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84A2D"/>
    <w:rPr>
      <w:rFonts w:ascii="Calibri" w:eastAsia="Times New Roman" w:hAnsi="Calibri" w:cs="Consolas"/>
      <w:szCs w:val="21"/>
      <w:lang w:eastAsia="pl-P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A2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CB2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2F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2FB2"/>
    <w:rPr>
      <w:rFonts w:ascii="Arial" w:eastAsia="Arial" w:hAnsi="Arial" w:cs="Arial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FB2"/>
    <w:rPr>
      <w:rFonts w:ascii="Arial" w:eastAsia="Arial" w:hAnsi="Arial" w:cs="Arial"/>
      <w:b/>
      <w:bCs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FB2"/>
    <w:rPr>
      <w:rFonts w:ascii="Segoe UI" w:eastAsia="Arial" w:hAnsi="Segoe UI" w:cs="Segoe UI"/>
      <w:sz w:val="18"/>
      <w:szCs w:val="18"/>
      <w:lang w:eastAsia="pl-PL"/>
    </w:rPr>
  </w:style>
  <w:style w:type="paragraph" w:styleId="Revision">
    <w:name w:val="Revision"/>
    <w:hidden/>
    <w:uiPriority w:val="99"/>
    <w:semiHidden/>
    <w:rsid w:val="005323BE"/>
    <w:pPr>
      <w:spacing w:after="0" w:line="240" w:lineRule="auto"/>
    </w:pPr>
    <w:rPr>
      <w:rFonts w:ascii="Arial" w:eastAsia="Arial" w:hAnsi="Arial" w:cs="Arial"/>
      <w:lang w:eastAsia="pl-P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76C9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6C95"/>
    <w:rPr>
      <w:rFonts w:ascii="Arial" w:eastAsia="Arial" w:hAnsi="Arial" w:cs="Arial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unhideWhenUsed/>
    <w:rsid w:val="00976C9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7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D91"/>
    <w:rPr>
      <w:rFonts w:ascii="Arial" w:eastAsia="Arial" w:hAnsi="Arial" w:cs="Arial"/>
      <w:lang w:eastAsia="pl-PL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B77D9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efaultParagraphFont"/>
    <w:uiPriority w:val="99"/>
    <w:semiHidden/>
    <w:unhideWhenUsed/>
    <w:rsid w:val="006B635B"/>
    <w:rPr>
      <w:color w:val="605E5C"/>
      <w:shd w:val="clear" w:color="auto" w:fill="E1DFDD"/>
    </w:rPr>
  </w:style>
  <w:style w:type="paragraph" w:customStyle="1" w:styleId="western">
    <w:name w:val="western"/>
    <w:basedOn w:val="Normal"/>
    <w:rsid w:val="00FE3132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styleId="Strong">
    <w:name w:val="Strong"/>
    <w:basedOn w:val="DefaultParagraphFont"/>
    <w:uiPriority w:val="22"/>
    <w:qFormat/>
    <w:rsid w:val="00FE313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E313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Emphasis">
    <w:name w:val="Emphasis"/>
    <w:basedOn w:val="DefaultParagraphFont"/>
    <w:uiPriority w:val="20"/>
    <w:qFormat/>
    <w:rsid w:val="00E909E6"/>
    <w:rPr>
      <w:i/>
      <w:iCs/>
    </w:rPr>
  </w:style>
  <w:style w:type="character" w:customStyle="1" w:styleId="cf01">
    <w:name w:val="cf01"/>
    <w:basedOn w:val="DefaultParagraphFont"/>
    <w:rsid w:val="00167436"/>
    <w:rPr>
      <w:rFonts w:ascii="Segoe UI" w:hAnsi="Segoe UI" w:cs="Segoe UI" w:hint="default"/>
      <w:sz w:val="18"/>
      <w:szCs w:val="18"/>
    </w:rPr>
  </w:style>
  <w:style w:type="character" w:customStyle="1" w:styleId="apple-converted-space">
    <w:name w:val="apple-converted-space"/>
    <w:basedOn w:val="DefaultParagraphFont"/>
    <w:rsid w:val="00775E16"/>
  </w:style>
  <w:style w:type="paragraph" w:styleId="ListParagraph">
    <w:name w:val="List Paragraph"/>
    <w:basedOn w:val="Normal"/>
    <w:uiPriority w:val="34"/>
    <w:qFormat/>
    <w:rsid w:val="00AF11EE"/>
    <w:pPr>
      <w:spacing w:after="0" w:line="240" w:lineRule="auto"/>
      <w:ind w:left="720"/>
    </w:pPr>
    <w:rPr>
      <w:rFonts w:ascii="Calibri" w:eastAsiaTheme="minorHAnsi" w:hAnsi="Calibri" w:cs="Calibri"/>
      <w:lang w:val="en-GB" w:eastAsia="en-GB"/>
      <w14:ligatures w14:val="standardContextual"/>
    </w:rPr>
  </w:style>
  <w:style w:type="paragraph" w:styleId="NormalWeb">
    <w:name w:val="Normal (Web)"/>
    <w:basedOn w:val="Normal"/>
    <w:uiPriority w:val="99"/>
    <w:unhideWhenUsed/>
    <w:rsid w:val="00AF1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11E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1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11EE"/>
    <w:rPr>
      <w:vertAlign w:val="superscript"/>
    </w:rPr>
  </w:style>
  <w:style w:type="character" w:customStyle="1" w:styleId="normaltextrun">
    <w:name w:val="normaltextrun"/>
    <w:basedOn w:val="DefaultParagraphFont"/>
    <w:rsid w:val="00C0604F"/>
  </w:style>
  <w:style w:type="character" w:customStyle="1" w:styleId="eop">
    <w:name w:val="eop"/>
    <w:basedOn w:val="DefaultParagraphFont"/>
    <w:rsid w:val="00C0604F"/>
  </w:style>
  <w:style w:type="paragraph" w:customStyle="1" w:styleId="pf0">
    <w:name w:val="pf0"/>
    <w:basedOn w:val="Normal"/>
    <w:rsid w:val="00A12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62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0F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8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9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6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595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6581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1578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5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5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9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ushmanwakefield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.poland@cushwak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9ED7BA2763A478EDE0130F91B5123" ma:contentTypeVersion="15" ma:contentTypeDescription="Create a new document." ma:contentTypeScope="" ma:versionID="f0827b97c411c567ea7b6231876734c3">
  <xsd:schema xmlns:xsd="http://www.w3.org/2001/XMLSchema" xmlns:xs="http://www.w3.org/2001/XMLSchema" xmlns:p="http://schemas.microsoft.com/office/2006/metadata/properties" xmlns:ns2="ad0eda28-077b-48b4-981d-21104f8134f6" xmlns:ns3="9e8c748b-9673-4c43-b9e9-f6f47eed6137" targetNamespace="http://schemas.microsoft.com/office/2006/metadata/properties" ma:root="true" ma:fieldsID="b88f6f328498e53ec5465a59d7175b84" ns2:_="" ns3:_="">
    <xsd:import namespace="ad0eda28-077b-48b4-981d-21104f8134f6"/>
    <xsd:import namespace="9e8c748b-9673-4c43-b9e9-f6f47eed61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eda28-077b-48b4-981d-21104f813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a8603ae-3637-436a-adfc-4f3f468c95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c748b-9673-4c43-b9e9-f6f47eed61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cbde1b-057e-4a17-a9b6-2fa292d2b0ef}" ma:internalName="TaxCatchAll" ma:showField="CatchAllData" ma:web="9e8c748b-9673-4c43-b9e9-f6f47eed61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8c748b-9673-4c43-b9e9-f6f47eed6137" xsi:nil="true"/>
    <lcf76f155ced4ddcb4097134ff3c332f xmlns="ad0eda28-077b-48b4-981d-21104f8134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6020F5-6A5F-4917-A4CC-571D08771D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303DC5-36C3-4D01-A699-677E7E9556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1A7165-7933-4207-B555-4CFBF4C92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0eda28-077b-48b4-981d-21104f8134f6"/>
    <ds:schemaRef ds:uri="9e8c748b-9673-4c43-b9e9-f6f47eed6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22DD7A-76A6-40A8-8556-74F891675D7E}">
  <ds:schemaRefs>
    <ds:schemaRef ds:uri="http://schemas.microsoft.com/office/2006/metadata/properties"/>
    <ds:schemaRef ds:uri="http://schemas.microsoft.com/office/infopath/2007/PartnerControls"/>
    <ds:schemaRef ds:uri="9e8c748b-9673-4c43-b9e9-f6f47eed6137"/>
    <ds:schemaRef ds:uri="ad0eda28-077b-48b4-981d-21104f8134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1166</Words>
  <Characters>6651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</dc:creator>
  <cp:lastModifiedBy>magdalena ossowska</cp:lastModifiedBy>
  <cp:revision>2</cp:revision>
  <dcterms:created xsi:type="dcterms:W3CDTF">2026-01-26T11:14:00Z</dcterms:created>
  <dcterms:modified xsi:type="dcterms:W3CDTF">2026-01-26T11:14:00Z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01c4386eb9a1dc9de2fec12738f87015bcc4ef4c8803dccae430c9e60e042de1</vt:lpwstr>
  </property>
  <property fmtid="{D5CDD505-2E9C-101B-9397-08002B2CF9AE}" pid="3" name="ContentTypeId">
    <vt:lpwstr>0x010100C609ED7BA2763A478EDE0130F91B5123</vt:lpwstr>
  </property>
</Properties>
</file>