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  <w:tab/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ab/>
        <w:tab/>
        <w:tab/>
        <w:tab/>
        <w:tab/>
        <w:t xml:space="preserve">Warszawa 22.01.2026 r.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.00000545454543" w:lineRule="auto"/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Bank Millennium Virtual Vibes powraca z kolejną edycją. W line-upie festiwalu: MIÜ, Żabson, Young Igi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br w:type="textWrapping"/>
        <w:t xml:space="preserve">Jedyny w Polsce festiwal muzyczny realizowany w metaverse powraca na Roblox – Bank Millennium Virtual Vibes startuje z kolejną edycją. Głównym partnerem wydarzenia pozostaje Bank Millennium, a partnerem festiwalu jest BLIK. W line-upie kolejnej edycji znaleźli się MIÜ, Żabson i Young Igi – artyści dobrze znani młodej publiczności, łączący koncertową energię z brzmieniem współczesnej polskiej sceny. Koncert premierowy zaplanowano na 29 stycznia o godz. 18:00. Za organizację i realizację odpowiada Change Serviceplan.</w:t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Nowa edycja Bank Millennium Virtual Vibes na Roblox rozwija format, który w poprzednim roku przyciągnął 400 tys. uczestników i wygenerował 24,6 mln wyświetleń. Hasłem przewodnim wydarzenia pozostaje „Festiwal, który Cię słucha”, podkreślające otwartość na potrzeby społeczności i ideę współtworzenia doświadczenia z odbiorcami. Tegoroczna odsłona ponownie stawia na koncert topowych polskich artystów jako główne wydarzenie. Jednocześnie projekt wychodzi poza klasyczne formaty koncertowe i buduje nowy model relacji artystów z fanami, obecny tam, gdzie dziś naturalnie toczy się życie cyfrowej społeczności. Dodatkowo organizatorzy akcentują wymiar edukacyjny, włączając aktywności związane z cyberbezpieczeństwem i bezpiecznym funkcjonowaniem w sieci.</w:t>
      </w:r>
    </w:p>
    <w:p w:rsidR="00000000" w:rsidDel="00000000" w:rsidP="00000000" w:rsidRDefault="00000000" w:rsidRPr="00000000" w14:paraId="00000008">
      <w:pPr>
        <w:spacing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Tegoroczny line-up festiwalu tworzą MIÜ, Żabson i Young Igi. MIÜ to współzałożyciel grupy Dre$$code oraz autor m.in. utworów „miü miü” i „dopóki się nie znüdzisz”, nagranego wspólnie z Zalią. Żabson od lat pozostaje jednym z najpopularniejszych raperów, czego przykładem jest najnowszy album „HOLLYWOOD SMILE”. Young Igi, znany m.in. z albumów „Konfetti” i „Ekskluzywny głód” oraz projektu OIO, ma też na koncie wspólne wydawnictwo z Żabsonem „Amfisbena”.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Koncert premierowy Bank Millennium Virtual Vibes odbędzie się 29 stycznia o godz. 18:00, a kolejne odsłony zaplanowane są na 4, 11 i 18 lutego. Wszystkie wydarzenia będą dostępne z tłumaczeniem na Polski Język Migowy (PJM). Za organizację i realizację wydarzenia odpowiada Change Serviceplan. Głównym partnerem wydarzenia pozostaje Bank Millennium, a partnerem festiwalu jest BLIK. Patronat medialny nad tegoroczną edycją objęli: ESKA, Helios, Vibez, WP oraz eBilet.</w:t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highlight w:val="white"/>
          <w:rtl w:val="0"/>
        </w:rPr>
        <w:t xml:space="preserve">***</w:t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highlight w:val="white"/>
          <w:rtl w:val="0"/>
        </w:rPr>
        <w:t xml:space="preserve">Change Serviceplan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Od 2008 r. pomagamy budować i rozwijać silne marki. Strategia komunikacji, kreacja kampanii i tworzenie treści reklamowych, UX i brand design – to nasza codzienność i pasja. Nazwa zobowiązuje, więc nieustannie poszukujemy nowych wyzwań i zmieniamy się, żeby im sprostać. Naszą specjalnością jest budowanie długofalowych platform komunikacyjnych (m.in. BLIK, Bank Millenium, BMW, MINI, Mlekopol, Intersnack, Abott, CCC, Heinz, Pudliszki), a naszą siłą – mocny lokalny rodowód, od 2016 r. wspierany przez Serviceplan – największą niezależną grupę komunikacji marketingowej w Europie. Nasze kampanie zdobyły ponad 84 nagród za skuteczność i kreatywność, w tym m.in. 2 Cannes Lions, 16 Golden Drums, 21 Effie Awards, 4 Złote Spinacze.</w:t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2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Szymon Ślęzak | Senior PR &amp; Creative Specialist Group One</w:t>
      </w:r>
    </w:p>
    <w:p w:rsidR="00000000" w:rsidDel="00000000" w:rsidP="00000000" w:rsidRDefault="00000000" w:rsidRPr="00000000" w14:paraId="00000013">
      <w:pPr>
        <w:spacing w:after="10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szymon.slezak@groupone.com.pl | +48 539 090 705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i w:val="1"/>
        <w:iCs w:val="1"/>
      </w:rPr>
      <w:drawing>
        <wp:inline distB="114300" distT="114300" distL="114300" distR="114300">
          <wp:extent cx="3171825" cy="86677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6227" l="0" r="0" t="36526"/>
                  <a:stretch>
                    <a:fillRect/>
                  </a:stretch>
                </pic:blipFill>
                <pic:spPr>
                  <a:xfrm>
                    <a:off x="0" y="0"/>
                    <a:ext cx="3171825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