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7B24" w14:textId="77777777" w:rsidR="002B23C7" w:rsidRPr="002B23C7" w:rsidRDefault="002B23C7" w:rsidP="002B23C7">
      <w:pPr>
        <w:spacing w:after="160" w:line="259" w:lineRule="auto"/>
        <w:rPr>
          <w:rFonts w:ascii="Noto Sans" w:eastAsiaTheme="minorHAnsi" w:hAnsi="Noto Sans" w:cs="Noto Sans"/>
          <w:b/>
          <w:bCs/>
          <w:sz w:val="24"/>
          <w:szCs w:val="24"/>
          <w:lang w:val="es-ES"/>
        </w:rPr>
      </w:pPr>
      <w:r w:rsidRPr="002B23C7">
        <w:rPr>
          <w:rFonts w:ascii="Noto Sans" w:eastAsiaTheme="minorHAnsi" w:hAnsi="Noto Sans" w:cs="Noto Sans"/>
          <w:b/>
          <w:bCs/>
          <w:sz w:val="24"/>
          <w:szCs w:val="24"/>
          <w:lang w:val="pt-PT"/>
        </w:rPr>
        <w:t>Liderança desenvolvida pela Domino</w:t>
      </w:r>
    </w:p>
    <w:p w14:paraId="3FA2EAFF" w14:textId="77777777" w:rsidR="002B23C7" w:rsidRPr="002B23C7" w:rsidRDefault="002B23C7" w:rsidP="002B23C7">
      <w:pPr>
        <w:spacing w:after="160" w:line="259" w:lineRule="auto"/>
        <w:rPr>
          <w:rFonts w:ascii="Noto Sans" w:eastAsiaTheme="minorHAnsi" w:hAnsi="Noto Sans" w:cs="Noto Sans"/>
          <w:b/>
          <w:bCs/>
          <w:i/>
          <w:iCs/>
          <w:color w:val="1C1C1C"/>
          <w:sz w:val="22"/>
          <w:shd w:val="clear" w:color="auto" w:fill="FFFFFF"/>
          <w:lang w:val="es-ES"/>
        </w:rPr>
      </w:pPr>
      <w:r w:rsidRPr="002B23C7">
        <w:rPr>
          <w:rFonts w:ascii="Noto Sans" w:eastAsiaTheme="minorHAnsi" w:hAnsi="Noto Sans" w:cs="Noto Sans"/>
          <w:b/>
          <w:bCs/>
          <w:color w:val="1C1C1C"/>
          <w:sz w:val="22"/>
          <w:shd w:val="clear" w:color="auto" w:fill="FFFFFF"/>
          <w:lang w:val="pt-PT"/>
        </w:rPr>
        <w:t>Quebrar a barreira da velocidade: Impulsionar a sustentabilidade e eficiência no fabrico de bebidas com códigos GS1 2D</w:t>
      </w:r>
    </w:p>
    <w:p w14:paraId="681E0716" w14:textId="77777777" w:rsidR="002B23C7" w:rsidRPr="002B23C7" w:rsidRDefault="002B23C7" w:rsidP="002B23C7">
      <w:pPr>
        <w:spacing w:after="160" w:line="259" w:lineRule="auto"/>
        <w:jc w:val="both"/>
        <w:rPr>
          <w:rFonts w:ascii="Noto Sans" w:eastAsiaTheme="minorHAnsi" w:hAnsi="Noto Sans" w:cs="Noto Sans"/>
          <w:i/>
          <w:iCs/>
          <w:sz w:val="22"/>
          <w:lang w:val="es-ES"/>
        </w:rPr>
      </w:pPr>
      <w:r w:rsidRPr="002B23C7">
        <w:rPr>
          <w:rFonts w:ascii="Noto Sans" w:eastAsiaTheme="minorHAnsi" w:hAnsi="Noto Sans" w:cs="Noto Sans"/>
          <w:i/>
          <w:iCs/>
          <w:sz w:val="22"/>
          <w:lang w:val="pt-PT"/>
        </w:rPr>
        <w:t>A indústria de bebidas está numa encruzilhada. Os objetivos de sustentabilidade, as exigências de eficiência operacional e as crescentes expetativas dos consumidores estão a convergir para criar uma pressão sem precedentes para os fabricantes. No entanto, os desafios únicos neste setor, incluindo a produção a alta velocidade, os formatos de embalagem complexos e os cenários regulamentares fragmentados, significam que a mudança encontra frequentemente resistência ao nível da fábrica. Mesmo quando as soluções prometem poupanças significativas, as equipas hesitam porque os novos processos aumentam a carga de trabalho, as interrupções e a complexidade.</w:t>
      </w:r>
    </w:p>
    <w:p w14:paraId="6302B7A6" w14:textId="77777777" w:rsidR="002B23C7" w:rsidRPr="002B23C7" w:rsidRDefault="002B23C7" w:rsidP="002B23C7">
      <w:pPr>
        <w:spacing w:after="160" w:line="259" w:lineRule="auto"/>
        <w:jc w:val="both"/>
        <w:rPr>
          <w:rFonts w:ascii="Noto Sans" w:eastAsiaTheme="minorHAnsi" w:hAnsi="Noto Sans" w:cs="Noto Sans"/>
          <w:i/>
          <w:iCs/>
          <w:sz w:val="22"/>
          <w:lang w:val="es-ES"/>
        </w:rPr>
      </w:pPr>
      <w:r w:rsidRPr="002B23C7">
        <w:rPr>
          <w:rFonts w:ascii="Noto Sans" w:eastAsiaTheme="minorHAnsi" w:hAnsi="Noto Sans" w:cs="Noto Sans"/>
          <w:i/>
          <w:iCs/>
          <w:sz w:val="22"/>
          <w:lang w:val="pt-PT"/>
        </w:rPr>
        <w:t>No entanto, embora as preocupações com a perturbação operacional sejam compreensíveis, a realidade é que o mercado está a mudar rapidamente. Os códigos 2D únicos e ricos em dados baseados nos padrões da GS1 proporcionam vantagens tangíveis, incluindo melhor rastreabilidade, bem como variabilidade de dados da próxima geração e envolvimento do consumidor. As soluções existentes têm de fornecer resultados com o mínimo de perturbações, permitindo aos fabricantes de bebidas apoiar os objetivos de sustentabilidade, simplificar a conformidade com as alterações regulamentares globais e melhorar a eficiência operacional.</w:t>
      </w:r>
    </w:p>
    <w:p w14:paraId="7A4C4147" w14:textId="66F276E3" w:rsidR="002B23C7" w:rsidRPr="002B23C7" w:rsidRDefault="002B23C7" w:rsidP="002B23C7">
      <w:pPr>
        <w:spacing w:after="160" w:line="259" w:lineRule="auto"/>
        <w:jc w:val="both"/>
        <w:rPr>
          <w:rFonts w:ascii="Noto Sans" w:eastAsiaTheme="minorHAnsi" w:hAnsi="Noto Sans" w:cs="Noto Sans"/>
          <w:i/>
          <w:iCs/>
          <w:sz w:val="22"/>
          <w:lang w:val="es-ES"/>
        </w:rPr>
      </w:pPr>
      <w:r w:rsidRPr="002B23C7">
        <w:rPr>
          <w:rFonts w:ascii="Noto Sans" w:eastAsiaTheme="minorHAnsi" w:hAnsi="Noto Sans" w:cs="Noto Sans"/>
          <w:i/>
          <w:iCs/>
          <w:sz w:val="22"/>
          <w:lang w:val="pt-PT"/>
        </w:rPr>
        <w:t xml:space="preserve">Com a GS1 a preparar-se para erradicar os códigos 1D dentro de alguns anos, Russell Wiseman, Head of Global Beverage Solutions da </w:t>
      </w:r>
      <w:hyperlink r:id="rId6" w:history="1">
        <w:r w:rsidRPr="002B23C7">
          <w:rPr>
            <w:rStyle w:val="Hyperlink"/>
            <w:rFonts w:ascii="Noto Sans" w:eastAsiaTheme="minorHAnsi" w:hAnsi="Noto Sans" w:cs="Noto Sans"/>
            <w:i/>
            <w:iCs/>
            <w:sz w:val="22"/>
            <w:lang w:val="pt-PT"/>
          </w:rPr>
          <w:t>Domino Printing Sciences</w:t>
        </w:r>
      </w:hyperlink>
      <w:r w:rsidRPr="002B23C7">
        <w:rPr>
          <w:rFonts w:ascii="Noto Sans" w:eastAsiaTheme="minorHAnsi" w:hAnsi="Noto Sans" w:cs="Noto Sans"/>
          <w:i/>
          <w:iCs/>
          <w:sz w:val="22"/>
          <w:lang w:val="pt-PT"/>
        </w:rPr>
        <w:t>, explica por que razão é agora o momento de agir e iniciar o percurso rumo a uma produção de bebidas mais inteligente e sustentável, reduzindo o desperdício, cortando custos e garantindo o futuro da marca no processo.</w:t>
      </w:r>
    </w:p>
    <w:p w14:paraId="5A714929" w14:textId="77777777" w:rsidR="002B23C7" w:rsidRPr="002B23C7" w:rsidRDefault="002B23C7" w:rsidP="002B23C7">
      <w:pPr>
        <w:spacing w:after="160" w:line="259" w:lineRule="auto"/>
        <w:rPr>
          <w:rFonts w:ascii="Noto Sans" w:eastAsiaTheme="minorHAnsi" w:hAnsi="Noto Sans" w:cs="Noto Sans"/>
          <w:b/>
          <w:bCs/>
          <w:sz w:val="22"/>
          <w:lang w:val="es-ES"/>
        </w:rPr>
      </w:pPr>
      <w:r w:rsidRPr="002B23C7">
        <w:rPr>
          <w:rFonts w:ascii="Noto Sans" w:eastAsiaTheme="minorHAnsi" w:hAnsi="Noto Sans" w:cs="Noto Sans"/>
          <w:b/>
          <w:bCs/>
          <w:sz w:val="22"/>
          <w:lang w:val="pt-PT"/>
        </w:rPr>
        <w:t>Desafios de sustentabilidade do fabrico de bebidas a alta velocidade</w:t>
      </w:r>
    </w:p>
    <w:p w14:paraId="47109A36" w14:textId="77777777" w:rsidR="002B23C7" w:rsidRPr="002B23C7" w:rsidRDefault="002B23C7" w:rsidP="002B23C7">
      <w:pPr>
        <w:spacing w:after="160" w:line="259" w:lineRule="auto"/>
        <w:jc w:val="both"/>
        <w:rPr>
          <w:rFonts w:ascii="Noto Sans" w:eastAsiaTheme="minorHAnsi" w:hAnsi="Noto Sans" w:cs="Noto Sans"/>
          <w:sz w:val="22"/>
          <w:lang w:val="es-ES"/>
        </w:rPr>
      </w:pPr>
      <w:r w:rsidRPr="002B23C7">
        <w:rPr>
          <w:rFonts w:ascii="Noto Sans" w:eastAsiaTheme="minorHAnsi" w:hAnsi="Noto Sans" w:cs="Noto Sans"/>
          <w:sz w:val="22"/>
          <w:lang w:val="pt-PT"/>
        </w:rPr>
        <w:t>Os fabricantes de bebidas enfrentam uma pressão crescente para cumprirem objetivos de sustentabilidade ambiciosos. Entre 2030 e 2050, está prevista a entrada em vigor de uma série de alterações regulamentares, incluindo o DPP (</w:t>
      </w:r>
      <w:hyperlink r:id="rId7" w:history="1">
        <w:r w:rsidRPr="002B23C7">
          <w:rPr>
            <w:rFonts w:ascii="Noto Sans" w:eastAsiaTheme="minorHAnsi" w:hAnsi="Noto Sans" w:cs="Noto Sans"/>
            <w:color w:val="0000FF"/>
            <w:sz w:val="22"/>
            <w:lang w:val="pt-PT"/>
          </w:rPr>
          <w:t>Passaporte de produto digital</w:t>
        </w:r>
      </w:hyperlink>
      <w:r w:rsidRPr="002B23C7">
        <w:rPr>
          <w:rFonts w:ascii="Noto Sans" w:eastAsiaTheme="minorHAnsi" w:hAnsi="Noto Sans" w:cs="Noto Sans"/>
          <w:sz w:val="22"/>
          <w:lang w:val="pt-PT"/>
        </w:rPr>
        <w:t>) e a CSRD (</w:t>
      </w:r>
      <w:hyperlink r:id="rId8" w:history="1">
        <w:r w:rsidRPr="002B23C7">
          <w:rPr>
            <w:rFonts w:ascii="Noto Sans" w:eastAsiaTheme="minorHAnsi" w:hAnsi="Noto Sans" w:cs="Noto Sans"/>
            <w:color w:val="0000FF"/>
            <w:sz w:val="22"/>
            <w:u w:val="single"/>
            <w:lang w:val="pt-PT"/>
          </w:rPr>
          <w:t>Diretiva relativa aos relatórios de sustentabilidade das empresas</w:t>
        </w:r>
      </w:hyperlink>
      <w:r w:rsidRPr="002B23C7">
        <w:rPr>
          <w:rFonts w:ascii="Noto Sans" w:eastAsiaTheme="minorHAnsi" w:hAnsi="Noto Sans" w:cs="Noto Sans"/>
          <w:sz w:val="22"/>
          <w:lang w:val="pt-PT"/>
        </w:rPr>
        <w:t>) da UE para a redução de resíduos, circularidade e transparência, o PPWR (</w:t>
      </w:r>
      <w:hyperlink r:id="rId9" w:history="1">
        <w:r w:rsidRPr="002B23C7">
          <w:rPr>
            <w:rFonts w:ascii="Noto Sans" w:eastAsiaTheme="minorHAnsi" w:hAnsi="Noto Sans" w:cs="Noto Sans"/>
            <w:color w:val="0000FF"/>
            <w:sz w:val="22"/>
            <w:u w:val="single"/>
            <w:lang w:val="pt-PT"/>
          </w:rPr>
          <w:t>Regulamento relativo às embalagens e aos resíduos de embalagens</w:t>
        </w:r>
      </w:hyperlink>
      <w:r w:rsidRPr="002B23C7">
        <w:rPr>
          <w:rFonts w:ascii="Noto Sans" w:eastAsiaTheme="minorHAnsi" w:hAnsi="Noto Sans" w:cs="Noto Sans"/>
          <w:sz w:val="22"/>
          <w:lang w:val="pt-PT"/>
        </w:rPr>
        <w:t>) e os DRS (</w:t>
      </w:r>
      <w:hyperlink r:id="rId10" w:history="1">
        <w:r w:rsidRPr="002B23C7">
          <w:rPr>
            <w:rFonts w:ascii="Noto Sans" w:eastAsiaTheme="minorHAnsi" w:hAnsi="Noto Sans" w:cs="Noto Sans"/>
            <w:color w:val="0000FF"/>
            <w:sz w:val="22"/>
            <w:u w:val="single"/>
            <w:lang w:val="pt-PT"/>
          </w:rPr>
          <w:t>Sistemas de depósito e reembolso</w:t>
        </w:r>
      </w:hyperlink>
      <w:r w:rsidRPr="002B23C7">
        <w:rPr>
          <w:rFonts w:ascii="Noto Sans" w:eastAsiaTheme="minorHAnsi" w:hAnsi="Noto Sans" w:cs="Noto Sans"/>
          <w:sz w:val="22"/>
          <w:lang w:val="pt-PT"/>
        </w:rPr>
        <w:t>) nacionais. A par desta mudança regulamentar para as estratégias ambientais, sociais e de governação (ESG), tanto os comerciantes como os reguladores estão a exigir maior transparência e rastreabilidade nas cadeias de abastecimento, intensificando a necessidade de dados precisos e acessíveis sobre os produtos.</w:t>
      </w:r>
    </w:p>
    <w:p w14:paraId="62F8EE2B" w14:textId="77777777" w:rsidR="002B23C7" w:rsidRPr="002B23C7" w:rsidRDefault="002B23C7" w:rsidP="002B23C7">
      <w:pPr>
        <w:spacing w:after="160" w:line="259" w:lineRule="auto"/>
        <w:jc w:val="both"/>
        <w:rPr>
          <w:rFonts w:ascii="Noto Sans" w:eastAsiaTheme="minorHAnsi" w:hAnsi="Noto Sans" w:cs="Noto Sans"/>
          <w:sz w:val="22"/>
          <w:lang w:val="es-ES"/>
        </w:rPr>
      </w:pPr>
      <w:r w:rsidRPr="002B23C7">
        <w:rPr>
          <w:rFonts w:ascii="Noto Sans" w:eastAsiaTheme="minorHAnsi" w:hAnsi="Noto Sans" w:cs="Noto Sans"/>
          <w:sz w:val="22"/>
          <w:lang w:val="pt-PT"/>
        </w:rPr>
        <w:lastRenderedPageBreak/>
        <w:t xml:space="preserve">No entanto, as ambições estratégicas de sustentabilidade colidem frequentemente com a realidade operacional. As linhas de produção de alta velocidade, que funcionam até 120 000 latas por hora, deixam pouco espaço para erros ou processos adicionais. A esta escala, mesmo os mais pequenos problemas ou questões de rendimento transformam-se rapidamente em custos significativos. A rotulagem incorreta e os produtos irregulares podem desencadear recolhas dispendiosas, quarentenas e orçamentos de contingência que ascendem a milhões. </w:t>
      </w:r>
    </w:p>
    <w:p w14:paraId="02D5DEB0" w14:textId="77777777" w:rsidR="002B23C7" w:rsidRPr="002B23C7" w:rsidRDefault="002B23C7" w:rsidP="002B23C7">
      <w:pPr>
        <w:spacing w:after="160" w:line="259" w:lineRule="auto"/>
        <w:jc w:val="both"/>
        <w:rPr>
          <w:rFonts w:ascii="Noto Sans" w:eastAsiaTheme="minorHAnsi" w:hAnsi="Noto Sans" w:cs="Noto Sans"/>
          <w:sz w:val="22"/>
          <w:lang w:val="es-ES"/>
        </w:rPr>
      </w:pPr>
      <w:r w:rsidRPr="002B23C7">
        <w:rPr>
          <w:rFonts w:ascii="Noto Sans" w:eastAsiaTheme="minorHAnsi" w:hAnsi="Noto Sans" w:cs="Noto Sans"/>
          <w:sz w:val="22"/>
          <w:lang w:val="pt-PT"/>
        </w:rPr>
        <w:t>Como resultado, não é de surpreender que as equipas das fábricas se mantenham cautelosas mesmo em relação a pequenos ajustes a processos eficientes e testados. O desafio consiste em determinar a melhor forma de efetuar a transição para um modelo mais sustentável, rastreável e transparente, assegurando simultaneamente a precisão e eficiência exigidas pela produção de bebidas a alta velocidade.</w:t>
      </w:r>
    </w:p>
    <w:p w14:paraId="61CCAB1A" w14:textId="77777777" w:rsidR="002B23C7" w:rsidRPr="002B23C7" w:rsidRDefault="002B23C7" w:rsidP="002B23C7">
      <w:pPr>
        <w:spacing w:after="160" w:line="259" w:lineRule="auto"/>
        <w:rPr>
          <w:rFonts w:ascii="Noto Sans" w:eastAsiaTheme="minorHAnsi" w:hAnsi="Noto Sans" w:cs="Noto Sans"/>
          <w:b/>
          <w:bCs/>
          <w:sz w:val="22"/>
          <w:lang w:val="es-ES"/>
        </w:rPr>
      </w:pPr>
      <w:r w:rsidRPr="002B23C7">
        <w:rPr>
          <w:rFonts w:ascii="Noto Sans" w:eastAsiaTheme="minorHAnsi" w:hAnsi="Noto Sans" w:cs="Noto Sans"/>
          <w:b/>
          <w:bCs/>
          <w:sz w:val="22"/>
          <w:lang w:val="pt-PT"/>
        </w:rPr>
        <w:t xml:space="preserve">Como os códigos 2D baseados nos padrões GS1 reduzem o desperdício, evitam erros e reforçam a rastreabilidade </w:t>
      </w:r>
    </w:p>
    <w:p w14:paraId="03CCE1E3" w14:textId="77777777" w:rsidR="002B23C7" w:rsidRPr="002B23C7" w:rsidRDefault="002B23C7" w:rsidP="002B23C7">
      <w:pPr>
        <w:spacing w:after="160" w:line="259" w:lineRule="auto"/>
        <w:jc w:val="both"/>
        <w:rPr>
          <w:rFonts w:ascii="Noto Sans" w:eastAsiaTheme="minorHAnsi" w:hAnsi="Noto Sans" w:cs="Noto Sans"/>
          <w:sz w:val="22"/>
          <w:lang w:val="es-ES"/>
        </w:rPr>
      </w:pPr>
      <w:r w:rsidRPr="002B23C7">
        <w:rPr>
          <w:rFonts w:ascii="Noto Sans" w:eastAsiaTheme="minorHAnsi" w:hAnsi="Noto Sans" w:cs="Noto Sans"/>
          <w:sz w:val="22"/>
          <w:lang w:val="pt-PT"/>
        </w:rPr>
        <w:t>Os códigos 2D baseados nos padrões da GS1 estão a emergir como um fator decisivo no setor de produção de bebidas. Utilizados em conjunto com um sistema de visualização de alta velocidade, os códigos GS1 proporcionam maior rastreabilidade da produção, permitindo que as falhas sejam eliminadas mais rapidamente, reduzindo o custo dos erros e impedindo que os produtos irregulares cheguem aos consumidores. Isto não só evita que a reputação da marca seja prejudicada, como também reduz os custos da repetição dos trabalhos e da recolha e apoia os objetivos de sustentabilidade ao minimizar o desperdício. A rastreabilidade completa de ponta a ponta ao longo da vida útil de um produto também suporta os requisitos globais (DRS), permitindo que as empresas de bebidas respondam rapidamente a diferentes esquemas sem incorrer em custos adicionais. Além disso, com a maioria dos países a aceitar agora informações de identificação de reciclagem online, a possibilidade de remover estas informações da embalagem e armazená-las na nuvem pode simplificar o cumprimento das exigências locais de identificação de reciclagem.</w:t>
      </w:r>
    </w:p>
    <w:p w14:paraId="660278FC" w14:textId="77777777" w:rsidR="002B23C7" w:rsidRPr="002B23C7" w:rsidRDefault="002B23C7" w:rsidP="002B23C7">
      <w:pPr>
        <w:spacing w:after="160" w:line="259" w:lineRule="auto"/>
        <w:jc w:val="both"/>
        <w:rPr>
          <w:rFonts w:ascii="Noto Sans" w:eastAsiaTheme="minorHAnsi" w:hAnsi="Noto Sans" w:cs="Noto Sans"/>
          <w:b/>
          <w:bCs/>
          <w:sz w:val="22"/>
          <w:lang w:val="es-ES"/>
        </w:rPr>
      </w:pPr>
      <w:r w:rsidRPr="002B23C7">
        <w:rPr>
          <w:rFonts w:ascii="Noto Sans" w:eastAsiaTheme="minorHAnsi" w:hAnsi="Noto Sans" w:cs="Noto Sans"/>
          <w:b/>
          <w:bCs/>
          <w:sz w:val="22"/>
          <w:lang w:val="pt-PT"/>
        </w:rPr>
        <w:t>Aumentar a flexibilidade e a conformidade multimercados</w:t>
      </w:r>
    </w:p>
    <w:p w14:paraId="07E84C3E" w14:textId="77777777" w:rsidR="002B23C7" w:rsidRPr="002B23C7" w:rsidRDefault="002B23C7" w:rsidP="002B23C7">
      <w:pPr>
        <w:spacing w:after="160" w:line="259" w:lineRule="auto"/>
        <w:jc w:val="both"/>
        <w:rPr>
          <w:rFonts w:ascii="Noto Sans" w:eastAsiaTheme="minorHAnsi" w:hAnsi="Noto Sans" w:cs="Noto Sans"/>
          <w:sz w:val="22"/>
          <w:lang w:val="es-ES"/>
        </w:rPr>
      </w:pPr>
      <w:r w:rsidRPr="002B23C7">
        <w:rPr>
          <w:rFonts w:ascii="Noto Sans" w:eastAsiaTheme="minorHAnsi" w:hAnsi="Noto Sans" w:cs="Noto Sans"/>
          <w:sz w:val="22"/>
          <w:lang w:val="pt-PT"/>
        </w:rPr>
        <w:t xml:space="preserve">Para além da rastreabilidade, os códigos 2D introduzem uma agilidade muito superior na gestão da conformidade multimercados. Os códigos dinâmicos ligados a dados permitem que as organizações partilhem informações detalhadas sobre os ingredientes ou a regulamentação de forma digital e não na embalagem. Isto alivia as pressões de espaço na embalagem, reduz a necessidade de artes gráficas específicas para cada mercado e ajuda a otimizar as SKU, apoiando operações de produção e embalagem mais sustentáveis. A adoção de soluções integradas, incluindo o Beverage Empty Can Coding </w:t>
      </w:r>
      <w:r w:rsidRPr="002B23C7">
        <w:rPr>
          <w:rFonts w:ascii="Noto Sans" w:eastAsiaTheme="minorHAnsi" w:hAnsi="Noto Sans" w:cs="Noto Sans"/>
          <w:sz w:val="22"/>
          <w:lang w:val="pt-PT"/>
        </w:rPr>
        <w:lastRenderedPageBreak/>
        <w:t>Systems (BECCS), proporciona mais vantagens. Ao combinar codificação, visualização e gestão de dados numa solução unificada, as empresas de bebidas podem melhorar ainda mais a sustentabilidade ao evitar o enchimento de latas defeituosas ou incorretas, evitando o desperdício de produto. Acrescente uma qualidade de codificação superior para otimizar o rendimento e a eficiência da linha, e os fabricantes de bebidas podem obter melhorias de desempenho mensuráveis, ao mesmo tempo que cumprem os objetivos ESG estratégicos.</w:t>
      </w:r>
    </w:p>
    <w:p w14:paraId="75C1A130" w14:textId="77777777" w:rsidR="002B23C7" w:rsidRPr="002B23C7" w:rsidRDefault="002B23C7" w:rsidP="002B23C7">
      <w:pPr>
        <w:shd w:val="clear" w:color="auto" w:fill="FFFFFF"/>
        <w:spacing w:before="100" w:beforeAutospacing="1" w:after="315" w:line="240" w:lineRule="auto"/>
        <w:rPr>
          <w:rFonts w:ascii="Noto Sans" w:eastAsia="Times New Roman" w:hAnsi="Noto Sans" w:cs="Noto Sans"/>
          <w:b/>
          <w:bCs/>
          <w:sz w:val="22"/>
          <w:lang w:val="es-ES" w:eastAsia="en-GB"/>
        </w:rPr>
      </w:pPr>
      <w:r w:rsidRPr="002B23C7">
        <w:rPr>
          <w:rFonts w:ascii="Noto Sans" w:eastAsia="Times New Roman" w:hAnsi="Noto Sans" w:cs="Noto Sans"/>
          <w:b/>
          <w:bCs/>
          <w:sz w:val="22"/>
          <w:lang w:val="pt-PT" w:eastAsia="en-GB"/>
        </w:rPr>
        <w:t>Impulsionar o envolvimento do consumidor, a proteção da marca e o acesso à informação</w:t>
      </w:r>
    </w:p>
    <w:p w14:paraId="2051B742" w14:textId="77777777" w:rsidR="002B23C7" w:rsidRPr="002B23C7" w:rsidRDefault="002B23C7" w:rsidP="002B23C7">
      <w:pPr>
        <w:shd w:val="clear" w:color="auto" w:fill="FFFFFF"/>
        <w:spacing w:before="100" w:beforeAutospacing="1" w:after="315" w:line="240" w:lineRule="auto"/>
        <w:jc w:val="both"/>
        <w:rPr>
          <w:rFonts w:ascii="Noto Sans" w:eastAsia="Times New Roman" w:hAnsi="Noto Sans" w:cs="Noto Sans"/>
          <w:sz w:val="22"/>
          <w:lang w:val="es-ES" w:eastAsia="en-GB"/>
        </w:rPr>
      </w:pPr>
      <w:r w:rsidRPr="002B23C7">
        <w:rPr>
          <w:rFonts w:ascii="Noto Sans" w:eastAsia="Times New Roman" w:hAnsi="Noto Sans" w:cs="Noto Sans"/>
          <w:sz w:val="22"/>
          <w:lang w:val="pt-PT" w:eastAsia="en-GB"/>
        </w:rPr>
        <w:t xml:space="preserve">Os códigos 2D também criam oportunidades poderosas para o envolvimento do consumidor e a obtenção de informações baseadas em dados. Os códigos QR dinâmicos estão a inspirar atividades promocionais inovadoras à medida que as empresas aproveitam novas oportunidades para programas de fidelização, gamificação e conteúdos personalizados. Este novo nível de envolvimento está a criar ligações mais profundas com os consumidores e a fornecer às empresas novos dados sobre os padrões de consumo, as tendências geográficas e a vida útil do produto. Com cada leitura, as empresas obtêm novos conhecimentos sobre o consumo e o comportamento dos consumidores, permitindo-lhes tomar decisões mais acertadas. </w:t>
      </w:r>
    </w:p>
    <w:p w14:paraId="79F02C86" w14:textId="77777777" w:rsidR="002B23C7" w:rsidRPr="002B23C7" w:rsidRDefault="002B23C7" w:rsidP="002B23C7">
      <w:pPr>
        <w:shd w:val="clear" w:color="auto" w:fill="FFFFFF"/>
        <w:spacing w:before="100" w:beforeAutospacing="1" w:after="315" w:line="240" w:lineRule="auto"/>
        <w:jc w:val="both"/>
        <w:rPr>
          <w:rFonts w:ascii="Noto Sans" w:eastAsia="Times New Roman" w:hAnsi="Noto Sans" w:cs="Noto Sans"/>
          <w:sz w:val="22"/>
          <w:lang w:val="es-ES" w:eastAsia="en-GB"/>
        </w:rPr>
      </w:pPr>
      <w:r w:rsidRPr="002B23C7">
        <w:rPr>
          <w:rFonts w:ascii="Noto Sans" w:eastAsia="Times New Roman" w:hAnsi="Noto Sans" w:cs="Noto Sans"/>
          <w:sz w:val="22"/>
          <w:lang w:val="pt-PT" w:eastAsia="en-GB"/>
        </w:rPr>
        <w:t>De forma crítica, a adoção de novos processos possibilitados pelos códigos 2D permite alcançar envolvimento superior a um custo inferior ao dos modelos atuais. As promoções podem ser transferidas para a nuvem, permitindo que a empresa melhore o envolvimento do cliente sem exigir tiragens dispendiosas não-standard. As promoções bem-sucedidas podem ser alargadas remotamente, sem necessidade de alterações na linha de produção, ao passo que as atividades menos bem-sucedidas podem ser rapidamente eliminadas, assegurando a minimização de qualquer impacto comercial.</w:t>
      </w:r>
    </w:p>
    <w:p w14:paraId="0DE910CF" w14:textId="77777777" w:rsidR="002B23C7" w:rsidRPr="002B23C7" w:rsidRDefault="002B23C7" w:rsidP="002B23C7">
      <w:pPr>
        <w:shd w:val="clear" w:color="auto" w:fill="FFFFFF"/>
        <w:spacing w:before="100" w:beforeAutospacing="1" w:after="315" w:line="240" w:lineRule="auto"/>
        <w:jc w:val="both"/>
        <w:rPr>
          <w:rFonts w:ascii="Noto Sans" w:eastAsia="Times New Roman" w:hAnsi="Noto Sans" w:cs="Noto Sans"/>
          <w:sz w:val="22"/>
          <w:lang w:val="es-ES" w:eastAsia="en-GB"/>
        </w:rPr>
      </w:pPr>
      <w:r w:rsidRPr="002B23C7">
        <w:rPr>
          <w:rFonts w:ascii="Noto Sans" w:eastAsia="Times New Roman" w:hAnsi="Noto Sans" w:cs="Noto Sans"/>
          <w:sz w:val="22"/>
          <w:lang w:val="pt-PT" w:eastAsia="en-GB"/>
        </w:rPr>
        <w:t>As vantagens continuam. A serialização reforça a proteção da marca contra a contrafação, um problema que, segundo um relatório da OCDE e do Instituto da Propriedade Intelectual da União Europeia, perfaz atualmente cerca de 1,2 mil milhões de libras só no setor das bebidas alcoólicas. Além disso, os códigos 2D dinâmicos podem apoiar os objetivos de inclusão das empresas. Os clientes com deficiência visual podem utilizar tecnologias inovadoras, como o NaviLens, que utiliza um telemóvel para procurar produtos específicos nos corredores dos supermercados, nomeadamente por tamanho e sabor. Uma abordagem semelhante pode ser utilizada para assinalar informações sobre alergias, ajudando os clientes a evitar instantaneamente qualquer produto que não possam tolerar com segurança. Mais uma vez, quaisquer alterações ou atualizações a essas informações podem ser feitas nas informações baseadas na nuvem ligadas ao código 2D, evitando qualquer necessidade de recolha de produtos.</w:t>
      </w:r>
    </w:p>
    <w:p w14:paraId="4136A00E" w14:textId="77777777" w:rsidR="002B23C7" w:rsidRPr="002B23C7" w:rsidRDefault="002B23C7" w:rsidP="002B23C7">
      <w:pPr>
        <w:spacing w:after="160" w:line="259" w:lineRule="auto"/>
        <w:rPr>
          <w:rFonts w:ascii="Noto Sans" w:eastAsiaTheme="minorHAnsi" w:hAnsi="Noto Sans" w:cs="Noto Sans"/>
          <w:b/>
          <w:bCs/>
          <w:sz w:val="22"/>
          <w:lang w:val="es-ES"/>
        </w:rPr>
      </w:pPr>
      <w:r w:rsidRPr="002B23C7">
        <w:rPr>
          <w:rFonts w:ascii="Noto Sans" w:eastAsiaTheme="minorHAnsi" w:hAnsi="Noto Sans" w:cs="Noto Sans"/>
          <w:b/>
          <w:bCs/>
          <w:sz w:val="22"/>
          <w:lang w:val="pt-PT"/>
        </w:rPr>
        <w:lastRenderedPageBreak/>
        <w:t>Conclusão</w:t>
      </w:r>
    </w:p>
    <w:p w14:paraId="67A6FE2B" w14:textId="77777777" w:rsidR="002B23C7" w:rsidRPr="002B23C7" w:rsidRDefault="002B23C7" w:rsidP="002B23C7">
      <w:pPr>
        <w:spacing w:after="160" w:line="259" w:lineRule="auto"/>
        <w:jc w:val="both"/>
        <w:rPr>
          <w:rFonts w:ascii="Noto Sans" w:eastAsiaTheme="minorHAnsi" w:hAnsi="Noto Sans" w:cs="Noto Sans"/>
          <w:sz w:val="22"/>
          <w:lang w:val="es-ES"/>
        </w:rPr>
      </w:pPr>
      <w:r w:rsidRPr="002B23C7">
        <w:rPr>
          <w:rFonts w:ascii="Noto Sans" w:eastAsiaTheme="minorHAnsi" w:hAnsi="Noto Sans" w:cs="Noto Sans"/>
          <w:sz w:val="22"/>
          <w:lang w:val="pt-PT"/>
        </w:rPr>
        <w:t>Os códigos 2D são a base para uma cadeia de abastecimento de bebidas mais eficiente, sustentável e digital. No entanto, o momento é crítico. Com a GS1 a trabalhar arduamente para garantir que os códigos de barras 1D sejam erradicados até 2027/2028, os fabricantes devem começar a desenvolver uma estratégia de transição agora. Não cumprir os prazos de conformidade e depender de adaptações de última hora não só é dispendioso, como também acarreta um enorme risco operacional. Há custos de oportunidade significativos quando as marcas inovadoras entram no mercado e ganham quota de mercado, particularmente com os comerciantes que já investem em tecnologia para suportar códigos 2D. Ao mesmo tempo, as empresas enfrentam limitações e custos crescentes de sistemas que não conseguem lidar com requisitos futuros. Até quando pode a empresa adiar a tomada de decisão? Qual é o impacto potencial na reputação da marca quando o resto do mercado está a atingir o próximo nível de envolvimento do cliente?</w:t>
      </w:r>
    </w:p>
    <w:p w14:paraId="0C71A399" w14:textId="77777777" w:rsidR="002B23C7" w:rsidRPr="002B23C7" w:rsidRDefault="002B23C7" w:rsidP="002B23C7">
      <w:pPr>
        <w:spacing w:after="160" w:line="259" w:lineRule="auto"/>
        <w:jc w:val="both"/>
        <w:rPr>
          <w:rFonts w:ascii="Noto Sans" w:eastAsiaTheme="minorHAnsi" w:hAnsi="Noto Sans" w:cs="Noto Sans"/>
          <w:sz w:val="22"/>
          <w:lang w:val="es-ES"/>
        </w:rPr>
      </w:pPr>
      <w:r w:rsidRPr="002B23C7">
        <w:rPr>
          <w:rFonts w:ascii="Noto Sans" w:eastAsiaTheme="minorHAnsi" w:hAnsi="Noto Sans" w:cs="Noto Sans"/>
          <w:sz w:val="22"/>
          <w:lang w:val="pt-PT"/>
        </w:rPr>
        <w:t>Transições bem-sucedidas requerem prazos claros e um profundo conhecimento das oportunidades estratégicas e das implicações operacionais. Embora cada fabricante de bebidas dê prioridade a estes fatores de forma diferente, as oportunidades comerciais e ambientais da adoção precoce são tangíveis. As empresas obtêm a vantagem de uma posição de liderança na indústria. Estabelecem também as bases para um modelo operacional mais sustentável que tira partido das capacidades digitais para se manter na vanguarda de um mercado cada vez mais competitivo e em rápida evolução.</w:t>
      </w:r>
    </w:p>
    <w:p w14:paraId="7E9DCE3D" w14:textId="6C266A19" w:rsidR="002B23C7" w:rsidRDefault="002B23C7" w:rsidP="002B23C7">
      <w:pPr>
        <w:spacing w:after="160" w:line="259" w:lineRule="auto"/>
        <w:rPr>
          <w:rFonts w:ascii="Noto Sans" w:eastAsiaTheme="minorHAnsi" w:hAnsi="Noto Sans" w:cs="Noto Sans"/>
          <w:sz w:val="22"/>
          <w:lang w:val="pt-PT"/>
        </w:rPr>
      </w:pPr>
      <w:r>
        <w:rPr>
          <w:rFonts w:ascii="Noto Sans" w:eastAsiaTheme="minorHAnsi" w:hAnsi="Noto Sans" w:cs="Noto Sans"/>
          <w:sz w:val="22"/>
          <w:lang w:val="pt-PT"/>
        </w:rPr>
        <w:t>&lt;</w:t>
      </w:r>
      <w:r w:rsidRPr="002B23C7">
        <w:rPr>
          <w:rFonts w:ascii="Noto Sans" w:eastAsiaTheme="minorHAnsi" w:hAnsi="Noto Sans" w:cs="Noto Sans"/>
          <w:b/>
          <w:bCs/>
          <w:sz w:val="22"/>
          <w:lang w:val="pt-PT"/>
        </w:rPr>
        <w:t>FIM</w:t>
      </w:r>
      <w:r>
        <w:rPr>
          <w:rFonts w:ascii="Noto Sans" w:eastAsiaTheme="minorHAnsi" w:hAnsi="Noto Sans" w:cs="Noto Sans"/>
          <w:sz w:val="22"/>
          <w:lang w:val="pt-PT"/>
        </w:rPr>
        <w:t>&gt;</w:t>
      </w:r>
    </w:p>
    <w:p w14:paraId="46601CF5" w14:textId="77777777" w:rsidR="002B23C7" w:rsidRDefault="002B23C7" w:rsidP="002B23C7">
      <w:pPr>
        <w:spacing w:after="160" w:line="259" w:lineRule="auto"/>
        <w:rPr>
          <w:rFonts w:ascii="Noto Sans" w:eastAsiaTheme="minorHAnsi" w:hAnsi="Noto Sans" w:cs="Noto Sans"/>
          <w:sz w:val="22"/>
          <w:lang w:val="pt-PT"/>
        </w:rPr>
      </w:pPr>
    </w:p>
    <w:p w14:paraId="7F75B8D5" w14:textId="77777777" w:rsidR="002B23C7" w:rsidRPr="002B23C7" w:rsidRDefault="002B23C7" w:rsidP="002B23C7">
      <w:pPr>
        <w:spacing w:after="160" w:line="259" w:lineRule="auto"/>
        <w:rPr>
          <w:rFonts w:ascii="Noto Sans" w:eastAsiaTheme="minorHAnsi" w:hAnsi="Noto Sans" w:cs="Noto Sans"/>
          <w:sz w:val="20"/>
          <w:szCs w:val="20"/>
          <w:lang w:val="es-ES"/>
        </w:rPr>
      </w:pPr>
      <w:bookmarkStart w:id="0" w:name="_Hlk531088985"/>
      <w:r w:rsidRPr="002B23C7">
        <w:rPr>
          <w:rFonts w:ascii="Noto Sans" w:eastAsiaTheme="minorHAnsi" w:hAnsi="Noto Sans" w:cs="Noto Sans"/>
          <w:b/>
          <w:bCs/>
          <w:sz w:val="20"/>
          <w:szCs w:val="20"/>
          <w:lang w:val="pt-PT"/>
        </w:rPr>
        <w:t>Isenção de responsabilidade</w:t>
      </w:r>
      <w:bookmarkEnd w:id="0"/>
      <w:r w:rsidRPr="002B23C7">
        <w:rPr>
          <w:rFonts w:ascii="Noto Sans" w:eastAsiaTheme="minorHAnsi" w:hAnsi="Noto Sans" w:cs="Noto Sans"/>
          <w:sz w:val="20"/>
          <w:szCs w:val="20"/>
          <w:lang w:val="pt-PT"/>
        </w:rPr>
        <w:br/>
      </w:r>
      <w:r w:rsidRPr="002B23C7">
        <w:rPr>
          <w:rFonts w:ascii="Noto Sans" w:eastAsiaTheme="minorHAnsi" w:hAnsi="Noto Sans" w:cs="Noto Sans"/>
          <w:sz w:val="20"/>
          <w:szCs w:val="20"/>
          <w:lang w:val="pt-PT"/>
        </w:rPr>
        <w:br/>
      </w:r>
      <w:r w:rsidRPr="002B23C7">
        <w:rPr>
          <w:rFonts w:ascii="Noto Sans" w:eastAsiaTheme="minorHAnsi" w:hAnsi="Noto Sans" w:cs="Noto Sans"/>
          <w:b/>
          <w:bCs/>
          <w:sz w:val="20"/>
          <w:szCs w:val="20"/>
          <w:lang w:val="pt-PT"/>
        </w:rPr>
        <w:t>Tintas</w:t>
      </w:r>
      <w:r w:rsidRPr="002B23C7">
        <w:rPr>
          <w:rFonts w:ascii="Noto Sans" w:eastAsiaTheme="minorHAnsi" w:hAnsi="Noto Sans" w:cs="Noto Sans"/>
          <w:sz w:val="20"/>
          <w:szCs w:val="20"/>
          <w:lang w:val="pt-PT"/>
        </w:rPr>
        <w:br/>
        <w:t xml:space="preserve">As informações que se encontram no presente documento não devem substituir a realização dos testes adequados às suas circunstâncias e usos específicos. A Domino Portugal – Tecnologias de Codificação, S.A. e as empresas do grupo Domino não serão, de forma alguma, responsáveis por qualquer tipo de confiança depositada neste documento em relação à adequação de qualquer uma das nossas tintas à sua aplicação em particular. O presente documento não faz parte de quaisquer termos e condições celebrados entre si e a Domino Portugal. Exclusões de responsabilidade v.1.0 Fevereiro 2018. Os Termos e Condições de venda da Domino, em particular as garantias e responsabilidades presentes nos mesmos, dever-se-ão aplicar a qualquer uma das suas compras de produtos. </w:t>
      </w:r>
      <w:r w:rsidRPr="002B23C7">
        <w:rPr>
          <w:rFonts w:ascii="Noto Sans" w:eastAsiaTheme="minorHAnsi" w:hAnsi="Noto Sans" w:cs="Noto Sans"/>
          <w:sz w:val="20"/>
          <w:szCs w:val="20"/>
          <w:lang w:val="pt-PT"/>
        </w:rPr>
        <w:br/>
      </w:r>
      <w:r w:rsidRPr="002B23C7">
        <w:rPr>
          <w:rFonts w:ascii="Noto Sans" w:eastAsiaTheme="minorHAnsi" w:hAnsi="Noto Sans" w:cs="Noto Sans"/>
          <w:sz w:val="20"/>
          <w:szCs w:val="20"/>
          <w:lang w:val="pt-PT"/>
        </w:rPr>
        <w:br/>
      </w:r>
      <w:r w:rsidRPr="002B23C7">
        <w:rPr>
          <w:rFonts w:ascii="Noto Sans" w:eastAsiaTheme="minorHAnsi" w:hAnsi="Noto Sans" w:cs="Noto Sans"/>
          <w:b/>
          <w:bCs/>
          <w:sz w:val="20"/>
          <w:szCs w:val="20"/>
          <w:lang w:val="pt-PT"/>
        </w:rPr>
        <w:t>Geral</w:t>
      </w:r>
      <w:r w:rsidRPr="002B23C7">
        <w:rPr>
          <w:rFonts w:ascii="Noto Sans" w:eastAsiaTheme="minorHAnsi" w:hAnsi="Noto Sans" w:cs="Noto Sans"/>
          <w:sz w:val="20"/>
          <w:szCs w:val="20"/>
          <w:lang w:val="pt-PT"/>
        </w:rPr>
        <w:br/>
      </w:r>
      <w:r w:rsidRPr="002B23C7">
        <w:rPr>
          <w:rFonts w:ascii="Noto Sans" w:eastAsiaTheme="minorHAnsi" w:hAnsi="Noto Sans" w:cs="Noto Sans"/>
          <w:sz w:val="20"/>
          <w:szCs w:val="20"/>
          <w:lang w:val="pt-PT"/>
        </w:rPr>
        <w:lastRenderedPageBreak/>
        <w:t xml:space="preserve">As informações constantes no presente comunicado de imprensa são consideradas verdadeiras e corretas à data da publicação pela Domino. Qualquer alteração verificada após a data da publicação pode afetar a exatidão destas informações. Todos os valores em termos de desempenho e alegações citados no presente documento foram obtidos sob condições específicas e apenas poderão ser repetidos sob condições semelhantes. Para obter detalhes específicos do produto, deve entrar em contacto com o seu Account Manager da Domino Portugal. O presente documento não faz parte de quaisquer termos e condições celebrados entre si e a Domino Portugal. </w:t>
      </w:r>
      <w:r w:rsidRPr="002B23C7">
        <w:rPr>
          <w:rFonts w:ascii="Noto Sans" w:eastAsiaTheme="minorHAnsi" w:hAnsi="Noto Sans" w:cs="Noto Sans"/>
          <w:sz w:val="20"/>
          <w:szCs w:val="20"/>
          <w:lang w:val="pt-PT"/>
        </w:rPr>
        <w:br/>
      </w:r>
      <w:r w:rsidRPr="002B23C7">
        <w:rPr>
          <w:rFonts w:ascii="Noto Sans" w:eastAsiaTheme="minorHAnsi" w:hAnsi="Noto Sans" w:cs="Noto Sans"/>
          <w:sz w:val="20"/>
          <w:szCs w:val="20"/>
          <w:lang w:val="pt-PT"/>
        </w:rPr>
        <w:br/>
      </w:r>
      <w:r w:rsidRPr="002B23C7">
        <w:rPr>
          <w:rFonts w:ascii="Noto Sans" w:eastAsiaTheme="minorHAnsi" w:hAnsi="Noto Sans" w:cs="Noto Sans"/>
          <w:b/>
          <w:bCs/>
          <w:sz w:val="20"/>
          <w:szCs w:val="20"/>
          <w:lang w:val="pt-PT"/>
        </w:rPr>
        <w:t>Imagens</w:t>
      </w:r>
      <w:r w:rsidRPr="002B23C7">
        <w:rPr>
          <w:rFonts w:ascii="Noto Sans" w:eastAsiaTheme="minorHAnsi" w:hAnsi="Noto Sans" w:cs="Noto Sans"/>
          <w:sz w:val="20"/>
          <w:szCs w:val="20"/>
          <w:lang w:val="pt-PT"/>
        </w:rPr>
        <w:br/>
        <w:t xml:space="preserve">As imagens podem incluir melhorias ou extras opcionais. A qualidade de impressão pode variar de acordo com os consumíveis, o equipamento, a superfície e outros fatores. As imagens e fotografias não fazem parte de quaisquer termos e condições celebrados entre si e a Domino Portugal. </w:t>
      </w:r>
      <w:r w:rsidRPr="002B23C7">
        <w:rPr>
          <w:rFonts w:ascii="Noto Sans" w:eastAsiaTheme="minorHAnsi" w:hAnsi="Noto Sans" w:cs="Noto Sans"/>
          <w:sz w:val="20"/>
          <w:szCs w:val="20"/>
          <w:lang w:val="pt-PT"/>
        </w:rPr>
        <w:br/>
      </w:r>
      <w:r w:rsidRPr="002B23C7">
        <w:rPr>
          <w:rFonts w:ascii="Noto Sans" w:eastAsiaTheme="minorHAnsi" w:hAnsi="Noto Sans" w:cs="Noto Sans"/>
          <w:sz w:val="20"/>
          <w:szCs w:val="20"/>
          <w:lang w:val="pt-PT"/>
        </w:rPr>
        <w:br/>
      </w:r>
      <w:r w:rsidRPr="002B23C7">
        <w:rPr>
          <w:rFonts w:ascii="Noto Sans" w:eastAsiaTheme="minorHAnsi" w:hAnsi="Noto Sans" w:cs="Noto Sans"/>
          <w:b/>
          <w:bCs/>
          <w:sz w:val="20"/>
          <w:szCs w:val="20"/>
          <w:lang w:val="pt-PT"/>
        </w:rPr>
        <w:t>Vídeos</w:t>
      </w:r>
      <w:r w:rsidRPr="002B23C7">
        <w:rPr>
          <w:rFonts w:ascii="Noto Sans" w:eastAsiaTheme="minorHAnsi" w:hAnsi="Noto Sans" w:cs="Noto Sans"/>
          <w:sz w:val="20"/>
          <w:szCs w:val="20"/>
          <w:lang w:val="pt-PT"/>
        </w:rPr>
        <w:br/>
        <w:t>Este vídeo é apenas ilustrativo e pode incluir extras opcionais. Os valores relativos ao desempenho foram obtidos sob condições específicas; o desempenho individual pode variar. Os erros e as paragens das linhas de produção podem ser inevitáveis. Nada do que se encontra neste vídeo faz parte de qualquer contrato celebrado entre si e a Domino Portugal.</w:t>
      </w:r>
      <w:r w:rsidRPr="002B23C7">
        <w:rPr>
          <w:rFonts w:ascii="Noto Sans" w:eastAsiaTheme="minorHAnsi" w:hAnsi="Noto Sans" w:cs="Noto Sans"/>
          <w:sz w:val="20"/>
          <w:szCs w:val="20"/>
          <w:lang w:val="es-ES"/>
        </w:rPr>
        <w:br/>
      </w:r>
      <w:r w:rsidRPr="002B23C7">
        <w:rPr>
          <w:rFonts w:ascii="Noto Sans" w:eastAsiaTheme="minorHAnsi" w:hAnsi="Noto Sans" w:cs="Noto Sans"/>
          <w:b/>
          <w:sz w:val="20"/>
          <w:szCs w:val="20"/>
          <w:lang w:val="es-ES"/>
        </w:rPr>
        <w:br/>
      </w:r>
      <w:r w:rsidRPr="002B23C7">
        <w:rPr>
          <w:rFonts w:ascii="Noto Sans" w:eastAsiaTheme="minorHAnsi" w:hAnsi="Noto Sans" w:cs="Noto Sans"/>
          <w:b/>
          <w:bCs/>
          <w:sz w:val="20"/>
          <w:szCs w:val="20"/>
          <w:lang w:val="pt-PT"/>
        </w:rPr>
        <w:t>Notas para os editores:</w:t>
      </w:r>
      <w:r w:rsidRPr="002B23C7">
        <w:rPr>
          <w:rFonts w:ascii="Noto Sans" w:eastAsiaTheme="minorHAnsi" w:hAnsi="Noto Sans" w:cs="Noto Sans"/>
          <w:b/>
          <w:sz w:val="20"/>
          <w:szCs w:val="20"/>
          <w:lang w:val="es-ES"/>
        </w:rPr>
        <w:br/>
      </w:r>
      <w:r w:rsidRPr="002B23C7">
        <w:rPr>
          <w:rFonts w:ascii="Noto Sans" w:eastAsiaTheme="minorHAnsi" w:hAnsi="Noto Sans" w:cs="Noto Sans"/>
          <w:sz w:val="20"/>
          <w:szCs w:val="20"/>
          <w:lang w:val="es-ES"/>
        </w:rPr>
        <w:br/>
      </w:r>
      <w:r w:rsidRPr="002B23C7">
        <w:rPr>
          <w:rFonts w:ascii="Noto Sans" w:eastAsiaTheme="minorHAnsi" w:hAnsi="Noto Sans" w:cs="Noto Sans"/>
          <w:b/>
          <w:bCs/>
          <w:sz w:val="20"/>
          <w:szCs w:val="20"/>
          <w:lang w:val="pt-PT"/>
        </w:rPr>
        <w:t>Acerca da Domino</w:t>
      </w:r>
    </w:p>
    <w:p w14:paraId="6240B15F" w14:textId="77777777" w:rsidR="002B23C7" w:rsidRPr="002B23C7" w:rsidRDefault="002B23C7" w:rsidP="002B23C7">
      <w:pPr>
        <w:spacing w:after="160" w:line="259" w:lineRule="auto"/>
        <w:rPr>
          <w:rFonts w:ascii="Noto Sans" w:eastAsiaTheme="minorHAnsi" w:hAnsi="Noto Sans" w:cs="Noto Sans"/>
          <w:sz w:val="20"/>
          <w:szCs w:val="20"/>
          <w:lang w:val="pt-PT"/>
        </w:rPr>
      </w:pPr>
      <w:r w:rsidRPr="002B23C7">
        <w:rPr>
          <w:rFonts w:ascii="Noto Sans" w:eastAsiaTheme="minorHAnsi" w:hAnsi="Noto Sans" w:cs="Noto Sans"/>
          <w:sz w:val="20"/>
          <w:szCs w:val="20"/>
          <w:lang w:val="pt-PT"/>
        </w:rPr>
        <w:t xml:space="preserve">Desde 1978, a Domino Printing Sciences (Domino) estabeleceu uma reputação global relativamente ao desenvolvimento e fabrico de tecnologias de codificação, marcação e impressão, revelando um idêntico prestígio nos seus produtos de pós-venda e de apoio ao cliente a nível mundial. Atualmente, a Domino oferece uma das mais abrangentes gamas de soluções de codificação, desenvolvidas com o objetivo de satisfazer os requisitos de conformidade e produtividade dos fabricantes em inúmeros setores, incluindo bebidas, produtos alimentares, farmacêuticos e industriais. As principais tecnologias da empresa incluem sistemas inovadores de impressão a jato de tinta, impressão a laser, impressão e aplicação, e impressão por transferência térmica desenvolvidos para a aplicação de dados variáveis, códigos de barras e códigos de rastreabilidade exclusivos em produtos e embalagens. </w:t>
      </w:r>
      <w:r w:rsidRPr="002B23C7">
        <w:rPr>
          <w:rFonts w:ascii="Noto Sans" w:eastAsiaTheme="minorHAnsi" w:hAnsi="Noto Sans" w:cs="Noto Sans"/>
          <w:sz w:val="20"/>
          <w:szCs w:val="20"/>
          <w:lang w:val="pt-PT"/>
        </w:rPr>
        <w:br/>
      </w:r>
      <w:r w:rsidRPr="002B23C7">
        <w:rPr>
          <w:rFonts w:ascii="Noto Sans" w:eastAsiaTheme="minorHAnsi" w:hAnsi="Noto Sans" w:cs="Noto Sans"/>
          <w:sz w:val="20"/>
          <w:szCs w:val="20"/>
          <w:lang w:val="pt-PT"/>
        </w:rPr>
        <w:br/>
        <w:t>A Domino emprega mais de 3 000 pessoas em todo o mundo e comercializa para mais de 120 países através de uma rede global de 29 filiais e mais de 200 distribuidores. As instalações de fabrico da Domino localizam-se na Alemanha, China, EUA, Índia, Reino Unido, Suécia e Suíça.</w:t>
      </w:r>
      <w:r w:rsidRPr="002B23C7">
        <w:rPr>
          <w:rFonts w:ascii="Noto Sans" w:eastAsiaTheme="minorHAnsi" w:hAnsi="Noto Sans" w:cs="Noto Sans"/>
          <w:sz w:val="20"/>
          <w:szCs w:val="20"/>
          <w:lang w:val="pt-PT"/>
        </w:rPr>
        <w:br/>
      </w:r>
      <w:r w:rsidRPr="002B23C7">
        <w:rPr>
          <w:rFonts w:ascii="Noto Sans" w:eastAsiaTheme="minorHAnsi" w:hAnsi="Noto Sans" w:cs="Noto Sans"/>
          <w:sz w:val="20"/>
          <w:szCs w:val="20"/>
          <w:lang w:val="pt-PT"/>
        </w:rPr>
        <w:br/>
        <w:t xml:space="preserve">A Domino tornou-se uma divisão independente da Brother Industries Ltd. a 11 de junho de 2015. </w:t>
      </w:r>
      <w:r w:rsidRPr="002B23C7">
        <w:rPr>
          <w:rFonts w:ascii="Noto Sans" w:eastAsiaTheme="minorHAnsi" w:hAnsi="Noto Sans" w:cs="Noto Sans"/>
          <w:sz w:val="20"/>
          <w:szCs w:val="20"/>
          <w:lang w:val="pt-PT"/>
        </w:rPr>
        <w:br/>
      </w:r>
      <w:r w:rsidRPr="002B23C7">
        <w:rPr>
          <w:rFonts w:ascii="Noto Sans" w:eastAsiaTheme="minorHAnsi" w:hAnsi="Noto Sans" w:cs="Noto Sans"/>
          <w:sz w:val="20"/>
          <w:szCs w:val="20"/>
          <w:lang w:val="pt-PT"/>
        </w:rPr>
        <w:br/>
      </w:r>
      <w:r w:rsidRPr="002B23C7">
        <w:rPr>
          <w:rFonts w:ascii="Noto Sans" w:eastAsiaTheme="minorHAnsi" w:hAnsi="Noto Sans" w:cs="Noto Sans"/>
          <w:sz w:val="20"/>
          <w:szCs w:val="20"/>
          <w:lang w:val="pt-PT"/>
        </w:rPr>
        <w:lastRenderedPageBreak/>
        <w:t>Para obter mais informações sobre a Domino,</w:t>
      </w:r>
      <w:r w:rsidRPr="002B23C7">
        <w:rPr>
          <w:rFonts w:ascii="Noto Sans" w:eastAsiaTheme="minorHAnsi" w:hAnsi="Noto Sans" w:cs="Noto Sans"/>
          <w:sz w:val="20"/>
          <w:szCs w:val="20"/>
          <w:lang w:val="pt-PT"/>
        </w:rPr>
        <w:br/>
        <w:t xml:space="preserve">visite </w:t>
      </w:r>
      <w:hyperlink r:id="rId11" w:history="1">
        <w:r w:rsidRPr="002B23C7">
          <w:rPr>
            <w:rStyle w:val="Hyperlink"/>
            <w:rFonts w:ascii="Noto Sans" w:eastAsiaTheme="minorHAnsi" w:hAnsi="Noto Sans" w:cs="Noto Sans"/>
            <w:sz w:val="20"/>
            <w:szCs w:val="20"/>
            <w:lang w:val="pt-PT"/>
          </w:rPr>
          <w:t>www.domino-printing.com</w:t>
        </w:r>
      </w:hyperlink>
      <w:r w:rsidRPr="002B23C7">
        <w:rPr>
          <w:rFonts w:ascii="Noto Sans" w:eastAsiaTheme="minorHAnsi" w:hAnsi="Noto Sans" w:cs="Noto Sans"/>
          <w:sz w:val="20"/>
          <w:szCs w:val="20"/>
          <w:lang w:val="pt-PT"/>
        </w:rPr>
        <w:t xml:space="preserve"> </w:t>
      </w:r>
      <w:r w:rsidRPr="002B23C7">
        <w:rPr>
          <w:rFonts w:ascii="Noto Sans" w:eastAsiaTheme="minorHAnsi" w:hAnsi="Noto Sans" w:cs="Noto Sans"/>
          <w:sz w:val="20"/>
          <w:szCs w:val="20"/>
          <w:lang w:val="pt-PT"/>
        </w:rPr>
        <w:br/>
      </w:r>
      <w:r w:rsidRPr="002B23C7">
        <w:rPr>
          <w:rFonts w:ascii="Noto Sans" w:eastAsiaTheme="minorHAnsi" w:hAnsi="Noto Sans" w:cs="Noto Sans"/>
          <w:sz w:val="20"/>
          <w:szCs w:val="20"/>
          <w:lang w:val="pt-PT"/>
        </w:rPr>
        <w:br/>
      </w:r>
      <w:r w:rsidRPr="002B23C7">
        <w:rPr>
          <w:rFonts w:ascii="Noto Sans" w:eastAsiaTheme="minorHAnsi" w:hAnsi="Noto Sans" w:cs="Noto Sans"/>
          <w:b/>
          <w:bCs/>
          <w:sz w:val="20"/>
          <w:szCs w:val="20"/>
          <w:lang w:val="pt-PT"/>
        </w:rPr>
        <w:t>Deverá contactar:</w:t>
      </w:r>
      <w:r w:rsidRPr="002B23C7">
        <w:rPr>
          <w:rFonts w:ascii="Noto Sans" w:eastAsiaTheme="minorHAnsi" w:hAnsi="Noto Sans" w:cs="Noto Sans"/>
          <w:sz w:val="20"/>
          <w:szCs w:val="20"/>
          <w:lang w:val="pt-PT"/>
        </w:rPr>
        <w:br/>
      </w:r>
      <w:r w:rsidRPr="002B23C7">
        <w:rPr>
          <w:rFonts w:ascii="Noto Sans" w:eastAsiaTheme="minorHAnsi" w:hAnsi="Noto Sans" w:cs="Noto Sans"/>
          <w:sz w:val="20"/>
          <w:szCs w:val="20"/>
          <w:lang w:val="pt-PT"/>
        </w:rPr>
        <w:br/>
        <w:t xml:space="preserve">Alex Challinor </w:t>
      </w:r>
      <w:r w:rsidRPr="002B23C7">
        <w:rPr>
          <w:rFonts w:ascii="Noto Sans" w:eastAsiaTheme="minorHAnsi" w:hAnsi="Noto Sans" w:cs="Noto Sans"/>
          <w:sz w:val="20"/>
          <w:szCs w:val="20"/>
          <w:lang w:val="pt-PT"/>
        </w:rPr>
        <w:br/>
        <w:t xml:space="preserve">PR and Content Manager </w:t>
      </w:r>
      <w:r w:rsidRPr="002B23C7">
        <w:rPr>
          <w:rFonts w:ascii="Noto Sans" w:eastAsiaTheme="minorHAnsi" w:hAnsi="Noto Sans" w:cs="Noto Sans"/>
          <w:sz w:val="20"/>
          <w:szCs w:val="20"/>
          <w:lang w:val="pt-PT"/>
        </w:rPr>
        <w:br/>
        <w:t xml:space="preserve">Domino Printing Sciences </w:t>
      </w:r>
      <w:r w:rsidRPr="002B23C7">
        <w:rPr>
          <w:rFonts w:ascii="Noto Sans" w:eastAsiaTheme="minorHAnsi" w:hAnsi="Noto Sans" w:cs="Noto Sans"/>
          <w:sz w:val="20"/>
          <w:szCs w:val="20"/>
          <w:lang w:val="pt-PT"/>
        </w:rPr>
        <w:br/>
        <w:t>Tel.: +44 (0) 1954 778 780</w:t>
      </w:r>
      <w:r w:rsidRPr="002B23C7">
        <w:rPr>
          <w:rFonts w:ascii="Noto Sans" w:eastAsiaTheme="minorHAnsi" w:hAnsi="Noto Sans" w:cs="Noto Sans"/>
          <w:sz w:val="20"/>
          <w:szCs w:val="20"/>
          <w:lang w:val="pt-PT"/>
        </w:rPr>
        <w:br/>
      </w:r>
      <w:hyperlink r:id="rId12" w:history="1">
        <w:r w:rsidRPr="002B23C7">
          <w:rPr>
            <w:rStyle w:val="Hyperlink"/>
            <w:rFonts w:ascii="Noto Sans" w:eastAsiaTheme="minorHAnsi" w:hAnsi="Noto Sans" w:cs="Noto Sans"/>
            <w:sz w:val="20"/>
            <w:szCs w:val="20"/>
            <w:lang w:val="pt-PT"/>
          </w:rPr>
          <w:t>Alex.Challinor@domino-uk.com</w:t>
        </w:r>
      </w:hyperlink>
    </w:p>
    <w:p w14:paraId="5AA2BA48" w14:textId="1EE29F63" w:rsidR="002B23C7" w:rsidRPr="005C25C5" w:rsidRDefault="002B23C7" w:rsidP="002B23C7">
      <w:pPr>
        <w:spacing w:line="240" w:lineRule="auto"/>
        <w:rPr>
          <w:rFonts w:ascii="Noto Sans" w:eastAsiaTheme="minorHAnsi" w:hAnsi="Noto Sans" w:cs="Noto Sans"/>
          <w:sz w:val="20"/>
          <w:szCs w:val="20"/>
          <w:lang w:val="pt-PT"/>
        </w:rPr>
      </w:pPr>
      <w:r w:rsidRPr="005C25C5">
        <w:rPr>
          <w:rFonts w:ascii="Noto Sans" w:eastAsiaTheme="minorHAnsi" w:hAnsi="Noto Sans" w:cs="Noto Sans"/>
          <w:sz w:val="20"/>
          <w:szCs w:val="20"/>
          <w:lang w:val="pt-PT"/>
        </w:rPr>
        <w:t>Daniela Ribeiro</w:t>
      </w:r>
    </w:p>
    <w:p w14:paraId="3A30E373" w14:textId="145322E1" w:rsidR="002B23C7" w:rsidRPr="005C25C5" w:rsidRDefault="002B23C7" w:rsidP="002B23C7">
      <w:pPr>
        <w:spacing w:line="240" w:lineRule="auto"/>
        <w:rPr>
          <w:rFonts w:ascii="Noto Sans" w:eastAsiaTheme="minorHAnsi" w:hAnsi="Noto Sans" w:cs="Noto Sans"/>
          <w:sz w:val="20"/>
          <w:szCs w:val="20"/>
          <w:lang w:val="pt-PT"/>
        </w:rPr>
      </w:pPr>
      <w:r w:rsidRPr="005C25C5">
        <w:rPr>
          <w:rFonts w:ascii="Noto Sans" w:eastAsiaTheme="minorHAnsi" w:hAnsi="Noto Sans" w:cs="Noto Sans"/>
          <w:sz w:val="20"/>
          <w:szCs w:val="20"/>
          <w:lang w:val="pt-PT"/>
        </w:rPr>
        <w:t>Marketing and Communications Executive</w:t>
      </w:r>
    </w:p>
    <w:p w14:paraId="3DA763AF" w14:textId="11DECE1B" w:rsidR="002B23C7" w:rsidRPr="005C25C5" w:rsidRDefault="002B23C7" w:rsidP="002B23C7">
      <w:pPr>
        <w:spacing w:line="240" w:lineRule="auto"/>
        <w:rPr>
          <w:rFonts w:ascii="Noto Sans" w:eastAsiaTheme="minorHAnsi" w:hAnsi="Noto Sans" w:cs="Noto Sans"/>
          <w:sz w:val="20"/>
          <w:szCs w:val="20"/>
          <w:lang w:val="pt-PT"/>
        </w:rPr>
      </w:pPr>
      <w:r w:rsidRPr="005C25C5">
        <w:rPr>
          <w:rFonts w:ascii="Noto Sans" w:eastAsiaTheme="minorHAnsi" w:hAnsi="Noto Sans" w:cs="Noto Sans"/>
          <w:sz w:val="20"/>
          <w:szCs w:val="20"/>
          <w:lang w:val="pt-PT"/>
        </w:rPr>
        <w:t>Domino Portugal</w:t>
      </w:r>
    </w:p>
    <w:p w14:paraId="11702973" w14:textId="60B4ADF5" w:rsidR="002B23C7" w:rsidRPr="005C25C5" w:rsidRDefault="002B23C7" w:rsidP="002B23C7">
      <w:pPr>
        <w:spacing w:line="240" w:lineRule="auto"/>
        <w:rPr>
          <w:rFonts w:ascii="Noto Sans" w:eastAsiaTheme="minorHAnsi" w:hAnsi="Noto Sans" w:cs="Noto Sans"/>
          <w:sz w:val="20"/>
          <w:szCs w:val="20"/>
          <w:lang w:val="pt-PT"/>
        </w:rPr>
      </w:pPr>
      <w:r w:rsidRPr="005C25C5">
        <w:rPr>
          <w:rFonts w:ascii="Noto Sans" w:eastAsiaTheme="minorHAnsi" w:hAnsi="Noto Sans" w:cs="Noto Sans"/>
          <w:sz w:val="20"/>
          <w:szCs w:val="20"/>
          <w:lang w:val="pt-PT"/>
        </w:rPr>
        <w:t>Tel.: +351 919866148</w:t>
      </w:r>
    </w:p>
    <w:p w14:paraId="264A6F26" w14:textId="14AC70DB" w:rsidR="002B23C7" w:rsidRPr="005C25C5" w:rsidRDefault="002B23C7" w:rsidP="002B23C7">
      <w:pPr>
        <w:spacing w:line="240" w:lineRule="auto"/>
        <w:rPr>
          <w:rFonts w:ascii="Noto Sans" w:eastAsiaTheme="minorHAnsi" w:hAnsi="Noto Sans" w:cs="Noto Sans"/>
          <w:sz w:val="20"/>
          <w:szCs w:val="20"/>
          <w:lang w:val="pt-PT"/>
        </w:rPr>
      </w:pPr>
      <w:hyperlink r:id="rId13" w:history="1">
        <w:r w:rsidRPr="005C25C5">
          <w:rPr>
            <w:rStyle w:val="Hyperlink"/>
            <w:rFonts w:ascii="Noto Sans" w:eastAsiaTheme="minorHAnsi" w:hAnsi="Noto Sans" w:cs="Noto Sans"/>
            <w:sz w:val="20"/>
            <w:szCs w:val="20"/>
            <w:lang w:val="pt-PT"/>
          </w:rPr>
          <w:t>Daniela.Ribeiro@domino-portugal.com</w:t>
        </w:r>
      </w:hyperlink>
      <w:r w:rsidRPr="005C25C5">
        <w:rPr>
          <w:rFonts w:ascii="Noto Sans" w:eastAsiaTheme="minorHAnsi" w:hAnsi="Noto Sans" w:cs="Noto Sans"/>
          <w:sz w:val="20"/>
          <w:szCs w:val="20"/>
          <w:lang w:val="pt-PT"/>
        </w:rPr>
        <w:t xml:space="preserve"> </w:t>
      </w:r>
    </w:p>
    <w:p w14:paraId="71689F5F" w14:textId="77777777" w:rsidR="002B23C7" w:rsidRPr="002B23C7" w:rsidRDefault="002B23C7" w:rsidP="002B23C7">
      <w:pPr>
        <w:spacing w:after="160" w:line="259" w:lineRule="auto"/>
        <w:rPr>
          <w:rFonts w:ascii="Noto Sans" w:eastAsiaTheme="minorHAnsi" w:hAnsi="Noto Sans" w:cs="Noto Sans"/>
          <w:sz w:val="20"/>
          <w:szCs w:val="20"/>
          <w:lang w:val="pt-PT"/>
        </w:rPr>
      </w:pPr>
    </w:p>
    <w:p w14:paraId="53EB7C38" w14:textId="77777777" w:rsidR="005524DB" w:rsidRPr="005C25C5" w:rsidRDefault="005524DB" w:rsidP="00C44603">
      <w:pPr>
        <w:rPr>
          <w:sz w:val="20"/>
          <w:szCs w:val="20"/>
          <w:lang w:val="pt-PT"/>
        </w:rPr>
      </w:pPr>
    </w:p>
    <w:sectPr w:rsidR="005524DB" w:rsidRPr="005C25C5"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37350"/>
    <w:rsid w:val="002766D9"/>
    <w:rsid w:val="002B23C7"/>
    <w:rsid w:val="002C3337"/>
    <w:rsid w:val="00372E92"/>
    <w:rsid w:val="005272B1"/>
    <w:rsid w:val="005524DB"/>
    <w:rsid w:val="005741C7"/>
    <w:rsid w:val="005C25C5"/>
    <w:rsid w:val="00647055"/>
    <w:rsid w:val="00660F46"/>
    <w:rsid w:val="00785717"/>
    <w:rsid w:val="008220B7"/>
    <w:rsid w:val="00823B77"/>
    <w:rsid w:val="008916A8"/>
    <w:rsid w:val="008B6461"/>
    <w:rsid w:val="008F3E38"/>
    <w:rsid w:val="009026A7"/>
    <w:rsid w:val="00931996"/>
    <w:rsid w:val="009A1716"/>
    <w:rsid w:val="009A1DEC"/>
    <w:rsid w:val="009D6280"/>
    <w:rsid w:val="009E564D"/>
    <w:rsid w:val="00A34918"/>
    <w:rsid w:val="00AB11DA"/>
    <w:rsid w:val="00B23C3C"/>
    <w:rsid w:val="00B546C5"/>
    <w:rsid w:val="00BC7C15"/>
    <w:rsid w:val="00C063FE"/>
    <w:rsid w:val="00C44603"/>
    <w:rsid w:val="00C541FE"/>
    <w:rsid w:val="00CF1AD5"/>
    <w:rsid w:val="00E00746"/>
    <w:rsid w:val="00E03029"/>
    <w:rsid w:val="00EC1C5A"/>
    <w:rsid w:val="00F82F7D"/>
    <w:rsid w:val="00FF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dir/2022/2464/oj/eng" TargetMode="External"/><Relationship Id="rId13" Type="http://schemas.openxmlformats.org/officeDocument/2006/relationships/hyperlink" Target="mailto:Daniela.Ribeiro@domino-portugal.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ata.europa.eu/en/news-events/news/eus-digital-product-passport-advancing-transparency-and-sustainability" TargetMode="External"/><Relationship Id="rId12" Type="http://schemas.openxmlformats.org/officeDocument/2006/relationships/hyperlink" Target="mailto:Alex.Challinor@domino-uk.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pt-pt/home.aspx?utm_medium=non-paid&amp;utm_source=onlinepublication&amp;utm_content=global-cm-tlp-driving-sustainability-and-efficiency-in-beverage-manufacturing-pt&amp;utm_campaign=2026-int-pt-global-pr-cm-fy25-q3" TargetMode="External"/><Relationship Id="rId11" Type="http://schemas.openxmlformats.org/officeDocument/2006/relationships/hyperlink" Target="http://www.domino-printing.pt"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gov.uk/guidance/deposit-return-scheme-drinks-producer-and-retailer-responsibilities"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eur-lex.europa.eu/eli/reg/2025/40/oj/en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24</TotalTime>
  <Pages>6</Pages>
  <Words>2154</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5</cp:revision>
  <dcterms:created xsi:type="dcterms:W3CDTF">2026-01-13T12:58:00Z</dcterms:created>
  <dcterms:modified xsi:type="dcterms:W3CDTF">2026-01-15T10:22:00Z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f9a59362-4d23-4b57-9f17-2057b1a7bf75</vt:lpwstr>
  </property>
</Properties>
</file>