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3B96" w14:textId="77777777" w:rsidR="00B744DF" w:rsidRPr="00B744DF" w:rsidRDefault="00B744DF" w:rsidP="00B744DF">
      <w:pPr>
        <w:spacing w:after="160" w:line="259" w:lineRule="auto"/>
        <w:rPr>
          <w:rFonts w:ascii="Noto Sans" w:eastAsiaTheme="minorHAnsi" w:hAnsi="Noto Sans" w:cs="Noto Sans"/>
          <w:b/>
          <w:bCs/>
          <w:sz w:val="28"/>
          <w:szCs w:val="28"/>
        </w:rPr>
      </w:pPr>
      <w:r w:rsidRPr="00B744DF">
        <w:rPr>
          <w:rFonts w:ascii="Noto Sans" w:eastAsiaTheme="minorHAnsi" w:hAnsi="Noto Sans" w:cs="Noto Sans"/>
          <w:b/>
          <w:bCs/>
          <w:sz w:val="28"/>
          <w:szCs w:val="28"/>
        </w:rPr>
        <w:t>Domino Thought Leadership</w:t>
      </w:r>
    </w:p>
    <w:p w14:paraId="14C9BE77" w14:textId="77777777" w:rsidR="00B744DF" w:rsidRPr="00B744DF" w:rsidRDefault="00B744DF" w:rsidP="00B744DF">
      <w:pPr>
        <w:spacing w:after="160" w:line="259" w:lineRule="auto"/>
        <w:rPr>
          <w:rFonts w:ascii="Noto Sans" w:eastAsiaTheme="minorHAnsi" w:hAnsi="Noto Sans" w:cs="Noto Sans"/>
          <w:b/>
          <w:bCs/>
          <w:i/>
          <w:iCs/>
          <w:color w:val="1C1C1C"/>
          <w:sz w:val="24"/>
          <w:szCs w:val="24"/>
          <w:shd w:val="clear" w:color="auto" w:fill="FFFFFF"/>
        </w:rPr>
      </w:pPr>
      <w:r w:rsidRPr="00B744DF">
        <w:rPr>
          <w:rFonts w:ascii="Noto Sans" w:eastAsiaTheme="minorHAnsi" w:hAnsi="Noto Sans" w:cs="Noto Sans"/>
          <w:b/>
          <w:bCs/>
          <w:color w:val="1C1C1C"/>
          <w:sz w:val="24"/>
          <w:szCs w:val="24"/>
          <w:shd w:val="clear" w:color="auto" w:fill="FFFFFF"/>
        </w:rPr>
        <w:t>Breaking the Speed Barrier: Driving Sustainability and Efficiency in Beverage Manufacturing Through GS1 2D Codes</w:t>
      </w:r>
    </w:p>
    <w:p w14:paraId="1A9C8DF6" w14:textId="4A78054E" w:rsidR="00B744DF" w:rsidRPr="00B744DF" w:rsidRDefault="00B744DF" w:rsidP="00B744DF">
      <w:pPr>
        <w:spacing w:after="160" w:line="259" w:lineRule="auto"/>
        <w:jc w:val="both"/>
        <w:rPr>
          <w:rFonts w:ascii="Noto Sans" w:eastAsiaTheme="minorHAnsi" w:hAnsi="Noto Sans" w:cs="Noto Sans"/>
          <w:i/>
          <w:iCs/>
          <w:sz w:val="22"/>
        </w:rPr>
      </w:pPr>
      <w:r w:rsidRPr="00B744DF">
        <w:rPr>
          <w:rFonts w:ascii="Noto Sans" w:eastAsiaTheme="minorHAnsi" w:hAnsi="Noto Sans" w:cs="Noto Sans"/>
          <w:i/>
          <w:iCs/>
          <w:sz w:val="22"/>
        </w:rPr>
        <w:t xml:space="preserve">The beverage industry is at a crossroads. Sustainability targets, operational efficiency </w:t>
      </w:r>
      <w:proofErr w:type="gramStart"/>
      <w:r w:rsidRPr="00B744DF">
        <w:rPr>
          <w:rFonts w:ascii="Noto Sans" w:eastAsiaTheme="minorHAnsi" w:hAnsi="Noto Sans" w:cs="Noto Sans"/>
          <w:i/>
          <w:iCs/>
          <w:sz w:val="22"/>
        </w:rPr>
        <w:t>demands,</w:t>
      </w:r>
      <w:r w:rsidR="00C00445">
        <w:rPr>
          <w:rFonts w:ascii="Noto Sans" w:eastAsiaTheme="minorHAnsi" w:hAnsi="Noto Sans" w:cs="Noto Sans"/>
          <w:i/>
          <w:iCs/>
          <w:sz w:val="22"/>
        </w:rPr>
        <w:t xml:space="preserve"> </w:t>
      </w:r>
      <w:r w:rsidRPr="00B744DF">
        <w:rPr>
          <w:rFonts w:ascii="Noto Sans" w:eastAsiaTheme="minorHAnsi" w:hAnsi="Noto Sans" w:cs="Noto Sans"/>
          <w:i/>
          <w:iCs/>
          <w:sz w:val="22"/>
        </w:rPr>
        <w:t>and</w:t>
      </w:r>
      <w:proofErr w:type="gramEnd"/>
      <w:r w:rsidRPr="00B744DF">
        <w:rPr>
          <w:rFonts w:ascii="Noto Sans" w:eastAsiaTheme="minorHAnsi" w:hAnsi="Noto Sans" w:cs="Noto Sans"/>
          <w:i/>
          <w:iCs/>
          <w:sz w:val="22"/>
        </w:rPr>
        <w:t xml:space="preserve"> rising consumer expectations are converging to create unprecedented pressure on manufacturers. However, unique challenges in this sector, including high-speed production, complex packaging formats, and fragmented regulatory landscapes, often lead to change meeting resistance at the plant level. Even when solutions promise significant savings, teams hesitate because new processes add workload, disruption, and complexity.</w:t>
      </w:r>
    </w:p>
    <w:p w14:paraId="02FEC8B9" w14:textId="77777777" w:rsidR="00B744DF" w:rsidRPr="00B744DF" w:rsidRDefault="00B744DF" w:rsidP="00B744DF">
      <w:pPr>
        <w:spacing w:after="160" w:line="259" w:lineRule="auto"/>
        <w:jc w:val="both"/>
        <w:rPr>
          <w:rFonts w:ascii="Noto Sans" w:eastAsiaTheme="minorHAnsi" w:hAnsi="Noto Sans" w:cs="Noto Sans"/>
          <w:i/>
          <w:iCs/>
          <w:sz w:val="22"/>
        </w:rPr>
      </w:pPr>
      <w:r w:rsidRPr="00B744DF">
        <w:rPr>
          <w:rFonts w:ascii="Noto Sans" w:eastAsiaTheme="minorHAnsi" w:hAnsi="Noto Sans" w:cs="Noto Sans"/>
          <w:i/>
          <w:iCs/>
          <w:sz w:val="22"/>
        </w:rPr>
        <w:t>Yet while concerns regarding operational upheaval are understandable, the reality is that the market is changing fast. Unique, data-rich 2D codes powered by GS1 are delivering tangible benefits, including enhanced traceability, next-generation data capabilities, and consumer engagement. Existing solutions need to deliver results with minimal disruption, allowing beverage manufacturers to support sustainability goals, streamline compliance with global regulatory change and improve operational efficiency.</w:t>
      </w:r>
    </w:p>
    <w:p w14:paraId="03671716" w14:textId="3ABDCCDB" w:rsidR="00B744DF" w:rsidRPr="00B744DF" w:rsidRDefault="00B744DF" w:rsidP="00B744DF">
      <w:pPr>
        <w:spacing w:after="160" w:line="259" w:lineRule="auto"/>
        <w:jc w:val="both"/>
        <w:rPr>
          <w:rFonts w:ascii="Noto Sans" w:eastAsiaTheme="minorHAnsi" w:hAnsi="Noto Sans" w:cs="Noto Sans"/>
          <w:i/>
          <w:iCs/>
          <w:sz w:val="22"/>
        </w:rPr>
      </w:pPr>
      <w:r w:rsidRPr="00B744DF">
        <w:rPr>
          <w:rFonts w:ascii="Noto Sans" w:eastAsiaTheme="minorHAnsi" w:hAnsi="Noto Sans" w:cs="Noto Sans"/>
          <w:i/>
          <w:iCs/>
          <w:sz w:val="22"/>
        </w:rPr>
        <w:t xml:space="preserve">With GS1 preparing to eradicate 1D codes within a couple of years, Russell Wiseman, Head of Global Beverage Solutions, </w:t>
      </w:r>
      <w:hyperlink r:id="rId6" w:history="1">
        <w:r w:rsidRPr="004D00A9">
          <w:rPr>
            <w:rStyle w:val="Hyperlink"/>
            <w:rFonts w:ascii="Noto Sans" w:eastAsiaTheme="minorHAnsi" w:hAnsi="Noto Sans" w:cs="Noto Sans"/>
            <w:i/>
            <w:iCs/>
            <w:sz w:val="22"/>
          </w:rPr>
          <w:t>Domino Printing Sciences</w:t>
        </w:r>
      </w:hyperlink>
      <w:r w:rsidRPr="00B744DF">
        <w:rPr>
          <w:rFonts w:ascii="Noto Sans" w:eastAsiaTheme="minorHAnsi" w:hAnsi="Noto Sans" w:cs="Noto Sans"/>
          <w:i/>
          <w:iCs/>
          <w:sz w:val="22"/>
        </w:rPr>
        <w:t>, explains why now is the moment to act and begin the journey towards smarter, more sustainable beverage production, reducing waste, cutting costs, and future-proofing the brand in the process.</w:t>
      </w:r>
    </w:p>
    <w:p w14:paraId="24ED4B1D" w14:textId="77777777" w:rsidR="00B744DF" w:rsidRPr="00B744DF" w:rsidRDefault="00B744DF" w:rsidP="00B744DF">
      <w:pPr>
        <w:spacing w:after="160" w:line="259" w:lineRule="auto"/>
        <w:rPr>
          <w:rFonts w:ascii="Noto Sans" w:eastAsiaTheme="minorHAnsi" w:hAnsi="Noto Sans" w:cs="Noto Sans"/>
          <w:b/>
          <w:bCs/>
          <w:sz w:val="22"/>
        </w:rPr>
      </w:pPr>
      <w:r w:rsidRPr="00B744DF">
        <w:rPr>
          <w:rFonts w:ascii="Noto Sans" w:eastAsiaTheme="minorHAnsi" w:hAnsi="Noto Sans" w:cs="Noto Sans"/>
          <w:b/>
          <w:bCs/>
          <w:sz w:val="22"/>
        </w:rPr>
        <w:t>Sustainability Challenges Facing High-Speed Beverage Manufacturing</w:t>
      </w:r>
    </w:p>
    <w:p w14:paraId="3E6750C5" w14:textId="77777777" w:rsidR="00B744DF" w:rsidRPr="00B744DF" w:rsidRDefault="00B744DF" w:rsidP="00B744DF">
      <w:pPr>
        <w:spacing w:after="160" w:line="259" w:lineRule="auto"/>
        <w:jc w:val="both"/>
        <w:rPr>
          <w:rFonts w:ascii="Noto Sans" w:eastAsiaTheme="minorHAnsi" w:hAnsi="Noto Sans" w:cs="Noto Sans"/>
          <w:sz w:val="22"/>
        </w:rPr>
      </w:pPr>
      <w:r w:rsidRPr="00B744DF">
        <w:rPr>
          <w:rFonts w:ascii="Noto Sans" w:eastAsiaTheme="minorHAnsi" w:hAnsi="Noto Sans" w:cs="Noto Sans"/>
          <w:sz w:val="22"/>
        </w:rPr>
        <w:t>Beverage manufacturers face mounting pressure to meet ambitious sustainability targets. Between 2030 and 2050, a raft of regulatory changes is set to come into force, including the EU DPP (</w:t>
      </w:r>
      <w:hyperlink r:id="rId7" w:history="1">
        <w:r w:rsidRPr="00B744DF">
          <w:rPr>
            <w:rFonts w:ascii="Noto Sans" w:eastAsiaTheme="minorHAnsi" w:hAnsi="Noto Sans" w:cs="Noto Sans"/>
            <w:color w:val="0000FF"/>
            <w:sz w:val="22"/>
            <w:u w:val="single"/>
          </w:rPr>
          <w:t>Digital Product Passport</w:t>
        </w:r>
      </w:hyperlink>
      <w:r w:rsidRPr="00B744DF">
        <w:rPr>
          <w:rFonts w:ascii="Noto Sans" w:eastAsiaTheme="minorHAnsi" w:hAnsi="Noto Sans" w:cs="Noto Sans"/>
          <w:sz w:val="22"/>
        </w:rPr>
        <w:t>) and CSRD (</w:t>
      </w:r>
      <w:hyperlink r:id="rId8" w:history="1">
        <w:r w:rsidRPr="00B744DF">
          <w:rPr>
            <w:rFonts w:ascii="Noto Sans" w:eastAsiaTheme="minorHAnsi" w:hAnsi="Noto Sans" w:cs="Noto Sans"/>
            <w:color w:val="0000FF"/>
            <w:sz w:val="22"/>
            <w:u w:val="single"/>
          </w:rPr>
          <w:t>Corporate Sustainability Reporting Directive</w:t>
        </w:r>
      </w:hyperlink>
      <w:r w:rsidRPr="00B744DF">
        <w:rPr>
          <w:rFonts w:ascii="Noto Sans" w:eastAsiaTheme="minorHAnsi" w:hAnsi="Noto Sans" w:cs="Noto Sans"/>
          <w:sz w:val="22"/>
        </w:rPr>
        <w:t>) for waste reduction, circularity, and transparency, PPWR (</w:t>
      </w:r>
      <w:hyperlink r:id="rId9" w:history="1">
        <w:r w:rsidRPr="00B744DF">
          <w:rPr>
            <w:rFonts w:ascii="Noto Sans" w:eastAsiaTheme="minorHAnsi" w:hAnsi="Noto Sans" w:cs="Noto Sans"/>
            <w:color w:val="0000FF"/>
            <w:sz w:val="22"/>
            <w:u w:val="single"/>
          </w:rPr>
          <w:t>Packaging and Packaging Waste Regulation</w:t>
        </w:r>
      </w:hyperlink>
      <w:r w:rsidRPr="00B744DF">
        <w:rPr>
          <w:rFonts w:ascii="Noto Sans" w:eastAsiaTheme="minorHAnsi" w:hAnsi="Noto Sans" w:cs="Noto Sans"/>
          <w:sz w:val="22"/>
        </w:rPr>
        <w:t>), and national DRS (</w:t>
      </w:r>
      <w:hyperlink r:id="rId10" w:history="1">
        <w:r w:rsidRPr="00B744DF">
          <w:rPr>
            <w:rFonts w:ascii="Noto Sans" w:eastAsiaTheme="minorHAnsi" w:hAnsi="Noto Sans" w:cs="Noto Sans"/>
            <w:color w:val="0000FF"/>
            <w:sz w:val="22"/>
            <w:u w:val="single"/>
          </w:rPr>
          <w:t>Deposit Return Schemes</w:t>
        </w:r>
      </w:hyperlink>
      <w:r w:rsidRPr="00B744DF">
        <w:rPr>
          <w:rFonts w:ascii="Noto Sans" w:eastAsiaTheme="minorHAnsi" w:hAnsi="Noto Sans" w:cs="Noto Sans"/>
          <w:sz w:val="22"/>
        </w:rPr>
        <w:t>). Alongside this regulatory change for Environmental, Social, and Governance (ESG) strategies, both retailers and regulators are demanding greater transparency and traceability across supply chains, intensifying the need for precise, accessible product data.</w:t>
      </w:r>
    </w:p>
    <w:p w14:paraId="1C927DD5" w14:textId="77777777" w:rsidR="00B744DF" w:rsidRPr="00B744DF" w:rsidRDefault="00B744DF" w:rsidP="00B744DF">
      <w:pPr>
        <w:spacing w:after="160" w:line="259" w:lineRule="auto"/>
        <w:rPr>
          <w:rFonts w:ascii="Noto Sans" w:eastAsiaTheme="minorHAnsi" w:hAnsi="Noto Sans" w:cs="Noto Sans"/>
          <w:sz w:val="22"/>
        </w:rPr>
      </w:pPr>
      <w:r w:rsidRPr="00B744DF">
        <w:rPr>
          <w:rFonts w:ascii="Noto Sans" w:eastAsiaTheme="minorHAnsi" w:hAnsi="Noto Sans" w:cs="Noto Sans"/>
          <w:sz w:val="22"/>
        </w:rPr>
        <w:t>Yet strategic sustainability ambitions often collide with operational reality. High-speed production lines, running at up to 120,000 cans per hour, leave little room for error or additional processes. At this scale, even the smallest problems or yield issues quickly spiral into high costs. Mislabelling and rogue products can trigger costly recalls, quarantines, and contingency budgets that run into millions.</w:t>
      </w:r>
    </w:p>
    <w:p w14:paraId="3AF21185" w14:textId="77777777" w:rsidR="00B744DF" w:rsidRPr="00B744DF" w:rsidRDefault="00B744DF" w:rsidP="00B744DF">
      <w:pPr>
        <w:spacing w:after="160" w:line="259" w:lineRule="auto"/>
        <w:rPr>
          <w:rFonts w:ascii="Noto Sans" w:eastAsiaTheme="minorHAnsi" w:hAnsi="Noto Sans" w:cs="Noto Sans"/>
          <w:sz w:val="22"/>
        </w:rPr>
      </w:pPr>
      <w:r w:rsidRPr="00B744DF">
        <w:rPr>
          <w:rFonts w:ascii="Noto Sans" w:eastAsiaTheme="minorHAnsi" w:hAnsi="Noto Sans" w:cs="Noto Sans"/>
          <w:sz w:val="22"/>
        </w:rPr>
        <w:lastRenderedPageBreak/>
        <w:t>As a result, it is no surprise that plant teams remain cautious about even small adjustments to tried-and-tested, efficient processes. The challenge is to determine the best way to transition to a more sustainable, traceable, and transparent model while ensuring the accuracy and efficiency required for high-speed beverage production.</w:t>
      </w:r>
    </w:p>
    <w:p w14:paraId="7396FD8B" w14:textId="77777777" w:rsidR="00B744DF" w:rsidRPr="00B744DF" w:rsidRDefault="00B744DF" w:rsidP="00B744DF">
      <w:pPr>
        <w:spacing w:after="160" w:line="259" w:lineRule="auto"/>
        <w:rPr>
          <w:rFonts w:ascii="Noto Sans" w:eastAsiaTheme="minorHAnsi" w:hAnsi="Noto Sans" w:cs="Noto Sans"/>
          <w:b/>
          <w:bCs/>
          <w:sz w:val="22"/>
        </w:rPr>
      </w:pPr>
      <w:r w:rsidRPr="00B744DF">
        <w:rPr>
          <w:rFonts w:ascii="Noto Sans" w:eastAsiaTheme="minorHAnsi" w:hAnsi="Noto Sans" w:cs="Noto Sans"/>
          <w:b/>
          <w:bCs/>
          <w:sz w:val="22"/>
        </w:rPr>
        <w:t xml:space="preserve">How GS1 2D Codes Cut Waste, Prevent Errors, and Strengthen Traceability </w:t>
      </w:r>
    </w:p>
    <w:p w14:paraId="0289C2B9" w14:textId="77777777" w:rsidR="00B744DF" w:rsidRPr="00B744DF" w:rsidRDefault="00B744DF" w:rsidP="00B744DF">
      <w:pPr>
        <w:spacing w:after="160" w:line="259" w:lineRule="auto"/>
        <w:jc w:val="both"/>
        <w:rPr>
          <w:rFonts w:ascii="Noto Sans" w:eastAsiaTheme="minorHAnsi" w:hAnsi="Noto Sans" w:cs="Noto Sans"/>
          <w:sz w:val="22"/>
        </w:rPr>
      </w:pPr>
      <w:r w:rsidRPr="00B744DF">
        <w:rPr>
          <w:rFonts w:ascii="Noto Sans" w:eastAsiaTheme="minorHAnsi" w:hAnsi="Noto Sans" w:cs="Noto Sans"/>
          <w:sz w:val="22"/>
        </w:rPr>
        <w:t xml:space="preserve">2D codes powered by GS1 are emerging as a game-changer for beverage production. Used in conjunction with a high-speed vision system, GS1 codes provide greater manufacturing traceability, allowing faults to be eliminated more quickly, reducing the cost of errors, and preventing rogue products from reaching consumers. This will not only prevent damage to brand reputation but also reduce rework and recall costs and support sustainability objectives by minimizing waste. Complete, end-to-end traceability throughout a product’s lifespan also supports global (DRS) requirements, enabling beverage companies to quickly respond to different schemes without incurring additional costs. Furthermore, with </w:t>
      </w:r>
      <w:proofErr w:type="gramStart"/>
      <w:r w:rsidRPr="00B744DF">
        <w:rPr>
          <w:rFonts w:ascii="Noto Sans" w:eastAsiaTheme="minorHAnsi" w:hAnsi="Noto Sans" w:cs="Noto Sans"/>
          <w:sz w:val="22"/>
        </w:rPr>
        <w:t>the majority of</w:t>
      </w:r>
      <w:proofErr w:type="gramEnd"/>
      <w:r w:rsidRPr="00B744DF">
        <w:rPr>
          <w:rFonts w:ascii="Noto Sans" w:eastAsiaTheme="minorHAnsi" w:hAnsi="Noto Sans" w:cs="Noto Sans"/>
          <w:sz w:val="22"/>
        </w:rPr>
        <w:t xml:space="preserve"> countries now accepting online recycling identification information, the ability to remove this information from the pack and store it in the cloud can streamline compliance with local recycling identification demands.</w:t>
      </w:r>
    </w:p>
    <w:p w14:paraId="79FFE52E" w14:textId="77777777" w:rsidR="00B744DF" w:rsidRPr="00B744DF" w:rsidRDefault="00B744DF" w:rsidP="00B744DF">
      <w:pPr>
        <w:spacing w:after="160" w:line="259" w:lineRule="auto"/>
        <w:jc w:val="both"/>
        <w:rPr>
          <w:rFonts w:ascii="Noto Sans" w:eastAsiaTheme="minorHAnsi" w:hAnsi="Noto Sans" w:cs="Noto Sans"/>
          <w:b/>
          <w:bCs/>
          <w:sz w:val="22"/>
        </w:rPr>
      </w:pPr>
      <w:r w:rsidRPr="00B744DF">
        <w:rPr>
          <w:rFonts w:ascii="Noto Sans" w:eastAsiaTheme="minorHAnsi" w:hAnsi="Noto Sans" w:cs="Noto Sans"/>
          <w:b/>
          <w:bCs/>
          <w:sz w:val="22"/>
        </w:rPr>
        <w:t>Boosting Flexibility and Multi-Market Compliance</w:t>
      </w:r>
    </w:p>
    <w:p w14:paraId="69081BD5" w14:textId="77777777" w:rsidR="00B744DF" w:rsidRPr="00B744DF" w:rsidRDefault="00B744DF" w:rsidP="00B744DF">
      <w:pPr>
        <w:shd w:val="clear" w:color="auto" w:fill="FFFFFF"/>
        <w:spacing w:before="100" w:beforeAutospacing="1" w:after="315" w:line="240" w:lineRule="auto"/>
        <w:rPr>
          <w:rFonts w:ascii="Noto Sans" w:eastAsiaTheme="minorHAnsi" w:hAnsi="Noto Sans" w:cs="Noto Sans"/>
          <w:sz w:val="22"/>
        </w:rPr>
      </w:pPr>
      <w:r w:rsidRPr="00B744DF">
        <w:rPr>
          <w:rFonts w:ascii="Noto Sans" w:eastAsiaTheme="minorHAnsi" w:hAnsi="Noto Sans" w:cs="Noto Sans"/>
          <w:sz w:val="22"/>
        </w:rPr>
        <w:t>Beyond traceability, 2D codes introduce far greater agility in managing multi-market compliance. Dynamic, data-linked codes allow organizations to share detailed ingredient or regulatory information digitally rather than on-pack. This relieves the real estate pressures on packaging, reduces the need for market-specific artwork, and helps streamline SKUs – supporting more sustainable production and packaging operations. The adoption of integrated solutions, including Beverage Empty Can Coding Systems (BECCS), delivers further benefits. By combining coding, vision, and data management in a unified solution, beverage companies can further enhance sustainability by preventing the filling of faulty or incorrect cans and preventing wasted product. By improving coding quality to enhance yield and line efficiency, beverage manufacturers can gain measurable performance improvements whilst also meeting strategic ESG objectives.</w:t>
      </w:r>
    </w:p>
    <w:p w14:paraId="7720B08A" w14:textId="77777777" w:rsidR="00B744DF" w:rsidRPr="00B744DF" w:rsidRDefault="00B744DF" w:rsidP="00B744DF">
      <w:pPr>
        <w:shd w:val="clear" w:color="auto" w:fill="FFFFFF"/>
        <w:spacing w:before="100" w:beforeAutospacing="1" w:after="315" w:line="240" w:lineRule="auto"/>
        <w:rPr>
          <w:rFonts w:ascii="Noto Sans" w:eastAsia="Times New Roman" w:hAnsi="Noto Sans" w:cs="Noto Sans"/>
          <w:b/>
          <w:bCs/>
          <w:sz w:val="22"/>
          <w:lang w:eastAsia="en-GB"/>
        </w:rPr>
      </w:pPr>
      <w:r w:rsidRPr="00B744DF">
        <w:rPr>
          <w:rFonts w:ascii="Noto Sans" w:eastAsia="Times New Roman" w:hAnsi="Noto Sans" w:cs="Noto Sans"/>
          <w:b/>
          <w:bCs/>
          <w:sz w:val="22"/>
          <w:lang w:eastAsia="en-GB"/>
        </w:rPr>
        <w:t>Driving Consumer Engagement, Brand Protection, and Accessible Information</w:t>
      </w:r>
    </w:p>
    <w:p w14:paraId="3C218922" w14:textId="068498D8" w:rsidR="00B744DF" w:rsidRPr="00B744DF" w:rsidRDefault="00C00445" w:rsidP="00B744DF">
      <w:pPr>
        <w:spacing w:after="160" w:line="259" w:lineRule="auto"/>
        <w:rPr>
          <w:rFonts w:ascii="Noto Sans" w:eastAsia="Times New Roman" w:hAnsi="Noto Sans" w:cs="Noto Sans"/>
          <w:sz w:val="22"/>
          <w:lang w:eastAsia="en-GB"/>
        </w:rPr>
      </w:pPr>
      <w:r>
        <w:rPr>
          <w:rFonts w:ascii="Noto Sans" w:eastAsia="Times New Roman" w:hAnsi="Noto Sans" w:cs="Noto Sans"/>
          <w:sz w:val="22"/>
          <w:lang w:eastAsia="en-GB"/>
        </w:rPr>
        <w:t>2</w:t>
      </w:r>
      <w:r w:rsidR="00B744DF" w:rsidRPr="00B744DF">
        <w:rPr>
          <w:rFonts w:ascii="Noto Sans" w:eastAsia="Times New Roman" w:hAnsi="Noto Sans" w:cs="Noto Sans"/>
          <w:sz w:val="22"/>
          <w:lang w:eastAsia="en-GB"/>
        </w:rPr>
        <w:t xml:space="preserve">D codes also unlock powerful opportunities for consumer engagement and data-driven insights. Dynamic QR codes are inspiring innovative promotional activity as companies tap into new opportunities for loyalty programs, gamification, and personalized content. This new level of engagement is creating deeper connections </w:t>
      </w:r>
      <w:r w:rsidR="00B744DF" w:rsidRPr="00B744DF">
        <w:rPr>
          <w:rFonts w:ascii="Noto Sans" w:eastAsia="Times New Roman" w:hAnsi="Noto Sans" w:cs="Noto Sans"/>
          <w:sz w:val="22"/>
          <w:lang w:eastAsia="en-GB"/>
        </w:rPr>
        <w:lastRenderedPageBreak/>
        <w:t>with consumers and providing companies with new data on consumption patterns, geographic trends, and product lifecycle. With every scan, companies gain new insights into consumption and consumer behaviour, enabling better decision-making.</w:t>
      </w:r>
    </w:p>
    <w:p w14:paraId="6D969F83" w14:textId="77777777" w:rsidR="00B744DF" w:rsidRPr="00B744DF" w:rsidRDefault="00B744DF" w:rsidP="00B744DF">
      <w:pPr>
        <w:spacing w:after="160" w:line="259" w:lineRule="auto"/>
        <w:rPr>
          <w:rFonts w:ascii="Noto Sans" w:eastAsia="Times New Roman" w:hAnsi="Noto Sans" w:cs="Noto Sans"/>
          <w:sz w:val="22"/>
          <w:lang w:eastAsia="en-GB"/>
        </w:rPr>
      </w:pPr>
      <w:r w:rsidRPr="00B744DF">
        <w:rPr>
          <w:rFonts w:ascii="Noto Sans" w:eastAsia="Times New Roman" w:hAnsi="Noto Sans" w:cs="Noto Sans"/>
          <w:sz w:val="22"/>
          <w:lang w:eastAsia="en-GB"/>
        </w:rPr>
        <w:t>Critically, the adoption of new processes enabled by 2D codes enables enhanced engagement at a lower cost than current models. Promotions can be moved into the cloud, allowing the company to improve customer engagement without requiring expensive, non-standard runs. Successful promotions can be extended remotely with zero changes to the production line, while less successful activities can be swiftly removed, minimizing any business impact.</w:t>
      </w:r>
    </w:p>
    <w:p w14:paraId="46724D57" w14:textId="77777777" w:rsidR="00B744DF" w:rsidRPr="00B744DF" w:rsidRDefault="00B744DF" w:rsidP="00B744DF">
      <w:pPr>
        <w:spacing w:after="160" w:line="259" w:lineRule="auto"/>
        <w:rPr>
          <w:rFonts w:ascii="Noto Sans" w:eastAsia="Times New Roman" w:hAnsi="Noto Sans" w:cs="Noto Sans"/>
          <w:sz w:val="22"/>
          <w:lang w:eastAsia="en-GB"/>
        </w:rPr>
      </w:pPr>
      <w:r w:rsidRPr="00B744DF">
        <w:rPr>
          <w:rFonts w:ascii="Noto Sans" w:eastAsia="Times New Roman" w:hAnsi="Noto Sans" w:cs="Noto Sans"/>
          <w:sz w:val="22"/>
          <w:lang w:eastAsia="en-GB"/>
        </w:rPr>
        <w:t xml:space="preserve">The benefits continue. Serialization strengthens brand protection against counterfeiting, a problem now estimated to be worth around £1.2 billion globally in alcoholic drinks alone, according to a report by the OECD and the EU’s Intellectual Property Office. Furthermore, dynamic 2D codes can support companies’ inclusivity objectives. Visually impaired customers can use innovative technologies such as </w:t>
      </w:r>
      <w:proofErr w:type="spellStart"/>
      <w:r w:rsidRPr="00B744DF">
        <w:rPr>
          <w:rFonts w:ascii="Noto Sans" w:eastAsia="Times New Roman" w:hAnsi="Noto Sans" w:cs="Noto Sans"/>
          <w:sz w:val="22"/>
          <w:lang w:eastAsia="en-GB"/>
        </w:rPr>
        <w:t>NaviLens</w:t>
      </w:r>
      <w:proofErr w:type="spellEnd"/>
      <w:r w:rsidRPr="00B744DF">
        <w:rPr>
          <w:rFonts w:ascii="Noto Sans" w:eastAsia="Times New Roman" w:hAnsi="Noto Sans" w:cs="Noto Sans"/>
          <w:sz w:val="22"/>
          <w:lang w:eastAsia="en-GB"/>
        </w:rPr>
        <w:t>, which uses a mobile phone to scan supermarket aisles for specific products, including by size and flavour. A similar approach can be used to flag allergy information, helping customers avoid products they cannot safely tolerate. Again, any changes or updates to such information can be made in the cloud-based information linked to the 2D code, eliminating the need for product recalls.</w:t>
      </w:r>
    </w:p>
    <w:p w14:paraId="2A0DDA0C" w14:textId="77777777" w:rsidR="00B744DF" w:rsidRPr="00B744DF" w:rsidRDefault="00B744DF" w:rsidP="00B744DF">
      <w:pPr>
        <w:spacing w:after="160" w:line="259" w:lineRule="auto"/>
        <w:rPr>
          <w:rFonts w:ascii="Noto Sans" w:eastAsiaTheme="minorHAnsi" w:hAnsi="Noto Sans" w:cs="Noto Sans"/>
          <w:b/>
          <w:bCs/>
          <w:sz w:val="22"/>
        </w:rPr>
      </w:pPr>
      <w:r w:rsidRPr="00B744DF">
        <w:rPr>
          <w:rFonts w:ascii="Noto Sans" w:eastAsiaTheme="minorHAnsi" w:hAnsi="Noto Sans" w:cs="Noto Sans"/>
          <w:b/>
          <w:bCs/>
          <w:sz w:val="22"/>
        </w:rPr>
        <w:t>Conclusion</w:t>
      </w:r>
    </w:p>
    <w:p w14:paraId="7072D739" w14:textId="77777777" w:rsidR="00B744DF" w:rsidRPr="00B744DF" w:rsidRDefault="00B744DF" w:rsidP="00B744DF">
      <w:pPr>
        <w:spacing w:after="160" w:line="259" w:lineRule="auto"/>
        <w:rPr>
          <w:rFonts w:ascii="Noto Sans" w:eastAsiaTheme="minorHAnsi" w:hAnsi="Noto Sans" w:cs="Noto Sans"/>
          <w:sz w:val="22"/>
        </w:rPr>
      </w:pPr>
      <w:r w:rsidRPr="00B744DF">
        <w:rPr>
          <w:rFonts w:ascii="Noto Sans" w:eastAsiaTheme="minorHAnsi" w:hAnsi="Noto Sans" w:cs="Noto Sans"/>
          <w:sz w:val="22"/>
        </w:rPr>
        <w:t xml:space="preserve">2D codes are the foundation for a more efficient, sustainable, and </w:t>
      </w:r>
      <w:proofErr w:type="gramStart"/>
      <w:r w:rsidRPr="00B744DF">
        <w:rPr>
          <w:rFonts w:ascii="Noto Sans" w:eastAsiaTheme="minorHAnsi" w:hAnsi="Noto Sans" w:cs="Noto Sans"/>
          <w:sz w:val="22"/>
        </w:rPr>
        <w:t>digitally-enabled</w:t>
      </w:r>
      <w:proofErr w:type="gramEnd"/>
      <w:r w:rsidRPr="00B744DF">
        <w:rPr>
          <w:rFonts w:ascii="Noto Sans" w:eastAsiaTheme="minorHAnsi" w:hAnsi="Noto Sans" w:cs="Noto Sans"/>
          <w:sz w:val="22"/>
        </w:rPr>
        <w:t xml:space="preserve"> beverage supply chain. However, timing is critical. With GS1 working hard to ensure 1D barcodes are eradicated by 2027/2028, manufacturers should begin developing a transition strategy now. Missing compliance deadlines and relying on last-minute retrofits are not only costly but also add enormous operational risk. There are significant opportunity costs when innovative brands step in and gain market share – particularly with retailers already investing in technology to support 2D codes. At the same time, businesses face limitations and rising costs due to systems that cannot meet future requirements. How long can the business afford to delay? What is the potential impact on brand reputation when the rest of the market is achieving the next level in customer engagement?</w:t>
      </w:r>
    </w:p>
    <w:p w14:paraId="1D17936A" w14:textId="77777777" w:rsidR="00B744DF" w:rsidRPr="00B744DF" w:rsidRDefault="00B744DF" w:rsidP="00B744DF">
      <w:pPr>
        <w:spacing w:after="160" w:line="259" w:lineRule="auto"/>
        <w:rPr>
          <w:rFonts w:ascii="Noto Sans" w:eastAsiaTheme="minorHAnsi" w:hAnsi="Noto Sans" w:cs="Noto Sans"/>
          <w:sz w:val="22"/>
        </w:rPr>
      </w:pPr>
      <w:r w:rsidRPr="00B744DF">
        <w:rPr>
          <w:rFonts w:ascii="Noto Sans" w:eastAsiaTheme="minorHAnsi" w:hAnsi="Noto Sans" w:cs="Noto Sans"/>
          <w:sz w:val="22"/>
        </w:rPr>
        <w:t xml:space="preserve">Successful transitions require clear timelines and a deep understanding of both strategic opportunities and operational implications. While every beverage manufacturer will prioritize these drivers differently, the commercial and environmental opportunities of early adoption are tangible. Companies gain an industry-leading position. They also lay the foundation for a more sustainable </w:t>
      </w:r>
      <w:r w:rsidRPr="00B744DF">
        <w:rPr>
          <w:rFonts w:ascii="Noto Sans" w:eastAsiaTheme="minorHAnsi" w:hAnsi="Noto Sans" w:cs="Noto Sans"/>
          <w:sz w:val="22"/>
        </w:rPr>
        <w:lastRenderedPageBreak/>
        <w:t>operating model that leverages digital capabilities to stay ahead in an increasingly competitive, rapidly evolving market.</w:t>
      </w:r>
    </w:p>
    <w:p w14:paraId="2C7F19D5" w14:textId="77777777" w:rsidR="00B744DF" w:rsidRPr="00B744DF" w:rsidRDefault="00B744DF" w:rsidP="00B744DF">
      <w:pPr>
        <w:spacing w:after="160" w:line="259" w:lineRule="auto"/>
        <w:rPr>
          <w:rFonts w:ascii="Noto Sans" w:eastAsiaTheme="minorHAnsi" w:hAnsi="Noto Sans" w:cs="Noto Sans"/>
          <w:i/>
          <w:iCs/>
          <w:sz w:val="22"/>
        </w:rPr>
      </w:pPr>
      <w:r w:rsidRPr="00B744DF">
        <w:rPr>
          <w:rFonts w:ascii="Noto Sans" w:eastAsiaTheme="minorHAnsi" w:hAnsi="Noto Sans" w:cs="Noto Sans"/>
          <w:sz w:val="22"/>
        </w:rPr>
        <w:t>&lt;</w:t>
      </w:r>
      <w:r w:rsidRPr="00B744DF">
        <w:rPr>
          <w:rFonts w:ascii="Noto Sans" w:eastAsiaTheme="minorHAnsi" w:hAnsi="Noto Sans" w:cs="Noto Sans"/>
          <w:b/>
          <w:bCs/>
          <w:sz w:val="22"/>
        </w:rPr>
        <w:t>ENDS</w:t>
      </w:r>
      <w:r w:rsidRPr="00B744DF">
        <w:rPr>
          <w:rFonts w:ascii="Noto Sans" w:eastAsiaTheme="minorHAnsi" w:hAnsi="Noto Sans" w:cs="Noto Sans"/>
          <w:sz w:val="22"/>
        </w:rPr>
        <w:t>&gt;</w:t>
      </w:r>
    </w:p>
    <w:p w14:paraId="48216B1F" w14:textId="77777777" w:rsidR="00B744DF" w:rsidRDefault="00B744DF" w:rsidP="00C44603">
      <w:pPr>
        <w:rPr>
          <w:rFonts w:ascii="Noto Sans" w:eastAsia="Gill Sans" w:hAnsi="Noto Sans" w:cs="Noto Sans"/>
          <w:b/>
          <w:sz w:val="20"/>
          <w:szCs w:val="20"/>
        </w:rPr>
      </w:pPr>
      <w:bookmarkStart w:id="0" w:name="_Hlk46133219"/>
    </w:p>
    <w:p w14:paraId="53EB7C38" w14:textId="31BA0368" w:rsidR="005524DB" w:rsidRDefault="00B744DF" w:rsidP="00C44603">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r>
      <w:r w:rsidRPr="00AF142B">
        <w:rPr>
          <w:rFonts w:ascii="Noto Sans" w:hAnsi="Noto Sans" w:cs="Noto Sans"/>
          <w:sz w:val="20"/>
          <w:szCs w:val="20"/>
        </w:rPr>
        <w:lastRenderedPageBreak/>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11"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lastRenderedPageBreak/>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2"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sectPr w:rsidR="005524DB"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549EF"/>
    <w:rsid w:val="000F6D00"/>
    <w:rsid w:val="00113106"/>
    <w:rsid w:val="001D743C"/>
    <w:rsid w:val="002766D9"/>
    <w:rsid w:val="002C3337"/>
    <w:rsid w:val="00372E92"/>
    <w:rsid w:val="004D00A9"/>
    <w:rsid w:val="005272B1"/>
    <w:rsid w:val="005524DB"/>
    <w:rsid w:val="005741C7"/>
    <w:rsid w:val="00647055"/>
    <w:rsid w:val="00660F46"/>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744DF"/>
    <w:rsid w:val="00BC7C15"/>
    <w:rsid w:val="00C00445"/>
    <w:rsid w:val="00C063FE"/>
    <w:rsid w:val="00C44603"/>
    <w:rsid w:val="00C541FE"/>
    <w:rsid w:val="00CF1AD5"/>
    <w:rsid w:val="00E00746"/>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B74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464/oj/e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ata.europa.eu/en/news-events/news/eus-digital-product-passport-advancing-transparency-and-sustainability" TargetMode="External"/><Relationship Id="rId12" Type="http://schemas.openxmlformats.org/officeDocument/2006/relationships/hyperlink" Target="mailto:jamie.hinton@domino-na.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tl-driving-sustainability-and-efficiency-in-beverage-manufacturing-us&amp;utm_campaign=2025-int-en-global-tl-cm-fy25-q3"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ov.uk/guidance/deposit-return-scheme-drinks-producer-and-retailer-responsibilitie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6</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2026-01-07T09:47:00Z</dcterms:created>
  <dcterms:modified xsi:type="dcterms:W3CDTF">2026-01-13T12:43:00Z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fa6b0b73-f983-43ea-b120-60a7b7781f79</vt:lpwstr>
  </property>
</Properties>
</file>