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7DA1" w14:textId="77777777" w:rsidR="00DC3A02" w:rsidRDefault="00DC3A02" w:rsidP="00DC3A02">
      <w:pPr>
        <w:jc w:val="both"/>
        <w:rPr>
          <w:sz w:val="20"/>
          <w:szCs w:val="20"/>
        </w:rPr>
      </w:pPr>
    </w:p>
    <w:p w14:paraId="15D073DF" w14:textId="77777777" w:rsidR="00461957" w:rsidRPr="008E327C" w:rsidRDefault="00461957" w:rsidP="00461957">
      <w:pPr>
        <w:rPr>
          <w:b/>
          <w:bCs/>
          <w:sz w:val="32"/>
          <w:szCs w:val="32"/>
        </w:rPr>
      </w:pPr>
      <w:r w:rsidRPr="008E327C">
        <w:rPr>
          <w:b/>
          <w:bCs/>
          <w:sz w:val="32"/>
          <w:szCs w:val="32"/>
        </w:rPr>
        <w:t>Demograficzne wyzwania mieszkalnictwa. Jak projektować osiedla, które dojrzewają razem z mieszkańcami?</w:t>
      </w:r>
    </w:p>
    <w:p w14:paraId="78FA01A8" w14:textId="11B46C3E" w:rsidR="00461957" w:rsidRPr="00F61091" w:rsidRDefault="00461957" w:rsidP="00461957">
      <w:pPr>
        <w:jc w:val="both"/>
        <w:rPr>
          <w:b/>
          <w:bCs/>
        </w:rPr>
      </w:pPr>
      <w:r>
        <w:rPr>
          <w:b/>
          <w:bCs/>
        </w:rPr>
        <w:t>Według prognoz</w:t>
      </w:r>
      <w:r w:rsidRPr="00F918B6">
        <w:rPr>
          <w:b/>
          <w:bCs/>
        </w:rPr>
        <w:t xml:space="preserve"> do 2060 roku liczba osób w wieku 65+ w Polsce wzrośnie do niemal 12 milionów, stanowiąc blisko 40 proc. populacji</w:t>
      </w:r>
      <w:r w:rsidRPr="00F918B6">
        <w:rPr>
          <w:rStyle w:val="Odwoanieprzypisudolnego"/>
          <w:b/>
          <w:bCs/>
        </w:rPr>
        <w:footnoteReference w:id="1"/>
      </w:r>
      <w:r w:rsidRPr="00F918B6">
        <w:rPr>
          <w:b/>
          <w:bCs/>
        </w:rPr>
        <w:t xml:space="preserve">. Zmieniająca się sytuacja demograficzna wiąże się z wieloma wyzwaniami – nie tylko </w:t>
      </w:r>
      <w:r w:rsidR="007A53D1">
        <w:rPr>
          <w:b/>
          <w:bCs/>
        </w:rPr>
        <w:t xml:space="preserve">z zakresu </w:t>
      </w:r>
      <w:r w:rsidRPr="00F918B6">
        <w:rPr>
          <w:b/>
          <w:bCs/>
        </w:rPr>
        <w:t>polityki społecznej czy ochrony zdrowia, ale także rynku mieszkaniowego i urbanistyki.</w:t>
      </w:r>
      <w:r>
        <w:rPr>
          <w:b/>
          <w:bCs/>
        </w:rPr>
        <w:t xml:space="preserve"> </w:t>
      </w:r>
      <w:r w:rsidRPr="00F61091">
        <w:rPr>
          <w:b/>
          <w:bCs/>
        </w:rPr>
        <w:t>Inwestycje realizowane dziś będą funkcjonować przez kolejne dekady</w:t>
      </w:r>
      <w:r>
        <w:rPr>
          <w:b/>
          <w:bCs/>
        </w:rPr>
        <w:t xml:space="preserve">, </w:t>
      </w:r>
      <w:r w:rsidRPr="00F61091">
        <w:rPr>
          <w:b/>
          <w:bCs/>
        </w:rPr>
        <w:t>w zupełnie innych realiach demograficznych niż obecne</w:t>
      </w:r>
      <w:r w:rsidRPr="00F918B6">
        <w:rPr>
          <w:b/>
          <w:bCs/>
        </w:rPr>
        <w:t>. Co sprawia, że osiedla będą w stanie naturalnie dostosować się do zmieniających się potrzeb swoich mieszkańców?</w:t>
      </w:r>
      <w:r>
        <w:rPr>
          <w:b/>
          <w:bCs/>
        </w:rPr>
        <w:t xml:space="preserve"> </w:t>
      </w:r>
    </w:p>
    <w:p w14:paraId="2A1E8D75" w14:textId="77777777" w:rsidR="00461957" w:rsidRDefault="00461957" w:rsidP="00461957">
      <w:pPr>
        <w:jc w:val="both"/>
        <w:rPr>
          <w:b/>
          <w:bCs/>
        </w:rPr>
      </w:pPr>
    </w:p>
    <w:p w14:paraId="71258C0E" w14:textId="77777777" w:rsidR="00461957" w:rsidRPr="00F61091" w:rsidRDefault="00461957" w:rsidP="00461957">
      <w:pPr>
        <w:jc w:val="both"/>
        <w:rPr>
          <w:b/>
          <w:bCs/>
        </w:rPr>
      </w:pPr>
      <w:r w:rsidRPr="00F61091">
        <w:rPr>
          <w:b/>
          <w:bCs/>
        </w:rPr>
        <w:t xml:space="preserve">Przyszli seniorzy </w:t>
      </w:r>
      <w:r>
        <w:rPr>
          <w:b/>
          <w:bCs/>
        </w:rPr>
        <w:t xml:space="preserve">dzisiejszymi kupującymi </w:t>
      </w:r>
    </w:p>
    <w:p w14:paraId="487AEB06" w14:textId="284FF570" w:rsidR="00461957" w:rsidRPr="00F61091" w:rsidRDefault="00461957" w:rsidP="00461957">
      <w:pPr>
        <w:jc w:val="both"/>
      </w:pPr>
      <w:r>
        <w:t xml:space="preserve">Polacy przeprowadzają się w ciągu całego swojego życia średnio </w:t>
      </w:r>
      <w:r w:rsidR="004231BB">
        <w:t>3 - 4</w:t>
      </w:r>
      <w:r w:rsidR="00773FFC">
        <w:t xml:space="preserve"> </w:t>
      </w:r>
      <w:r>
        <w:t>razy</w:t>
      </w:r>
      <w:r>
        <w:rPr>
          <w:rStyle w:val="Odwoanieprzypisudolnego"/>
        </w:rPr>
        <w:footnoteReference w:id="2"/>
      </w:r>
      <w:r>
        <w:t>. Z kolei najwięcej, bo ponad 30 proc. osób planujących zakup nieruchomości</w:t>
      </w:r>
      <w:r w:rsidR="00F56A88">
        <w:t>,</w:t>
      </w:r>
      <w:r>
        <w:t xml:space="preserve"> jest w grupie wiekowej 55+, niewiele mniej, bo 28 proc. to osoby w wieku 35 – 44</w:t>
      </w:r>
      <w:r>
        <w:rPr>
          <w:rStyle w:val="Odwoanieprzypisudolnego"/>
        </w:rPr>
        <w:footnoteReference w:id="3"/>
      </w:r>
      <w:r w:rsidR="00FF4678">
        <w:t>.</w:t>
      </w:r>
      <w:r>
        <w:t xml:space="preserve"> Dla wielu z tych kupujących będzie to miejsce, w którym </w:t>
      </w:r>
      <w:r w:rsidR="00813A44">
        <w:t>spędzą</w:t>
      </w:r>
      <w:r>
        <w:t xml:space="preserve"> swoją emeryturę. Jednocześnie należy pamiętać, że jak wskazuje część raportów</w:t>
      </w:r>
      <w:r w:rsidRPr="00F61091">
        <w:t xml:space="preserve"> demograficzn</w:t>
      </w:r>
      <w:r>
        <w:t>ych,</w:t>
      </w:r>
      <w:r w:rsidRPr="00F61091">
        <w:t xml:space="preserve"> przyszłe pokolenia seniorów będą znacząco różnić się od obecnych – pod względem stylu życia, poziomu aktywności, wykształcenia czy oczekiwań wobec przestrzeni. To </w:t>
      </w:r>
      <w:r>
        <w:t>przypomina</w:t>
      </w:r>
      <w:r w:rsidRPr="00F61091">
        <w:t>, że projektowanie mieszkań i osiedli nie może opierać się na sztywnych, jednowymiarowych schematach.</w:t>
      </w:r>
    </w:p>
    <w:p w14:paraId="2E971B6C" w14:textId="6D727B34" w:rsidR="00461957" w:rsidRPr="002A4E67" w:rsidRDefault="00461957" w:rsidP="00461957">
      <w:pPr>
        <w:jc w:val="both"/>
        <w:rPr>
          <w:i/>
          <w:iCs/>
        </w:rPr>
      </w:pPr>
      <w:r>
        <w:t xml:space="preserve">- </w:t>
      </w:r>
      <w:r w:rsidRPr="00990847">
        <w:rPr>
          <w:i/>
          <w:iCs/>
        </w:rPr>
        <w:t>W swoich przewidywaniach eksperci OECD podkreślają, że miasta, które nie uwzględnią potrzeb różnych grup wiekowych już na etapie planowania, poniosą w przyszłości wysokie koszty społeczne i ekonomiczne. Oczywiście w projektowaniu inwestycji mieszkaniowych gotowych na wyzwania przyszłości nie chodzi o budowanie</w:t>
      </w:r>
      <w:r>
        <w:rPr>
          <w:i/>
          <w:iCs/>
        </w:rPr>
        <w:t xml:space="preserve"> </w:t>
      </w:r>
      <w:r w:rsidRPr="00990847">
        <w:rPr>
          <w:i/>
          <w:iCs/>
        </w:rPr>
        <w:t xml:space="preserve">osiedli </w:t>
      </w:r>
      <w:r w:rsidR="0024397E">
        <w:rPr>
          <w:i/>
          <w:iCs/>
        </w:rPr>
        <w:t xml:space="preserve">stricte </w:t>
      </w:r>
      <w:r w:rsidRPr="00990847">
        <w:rPr>
          <w:i/>
          <w:iCs/>
        </w:rPr>
        <w:t>dla seniorów, ale o tworzenie środowiska, kt</w:t>
      </w:r>
      <w:r w:rsidR="00F77DE1">
        <w:rPr>
          <w:i/>
          <w:iCs/>
        </w:rPr>
        <w:t>óre ewol</w:t>
      </w:r>
      <w:r w:rsidR="002A2F54">
        <w:rPr>
          <w:i/>
          <w:iCs/>
        </w:rPr>
        <w:t>u</w:t>
      </w:r>
      <w:r w:rsidR="00F77DE1">
        <w:rPr>
          <w:i/>
          <w:iCs/>
        </w:rPr>
        <w:t>uje</w:t>
      </w:r>
      <w:r w:rsidRPr="00990847">
        <w:rPr>
          <w:i/>
          <w:iCs/>
        </w:rPr>
        <w:t xml:space="preserve"> wraz z mieszkańcami. Dzięki temu będą one w stanie uniknąć rewolucyjnych zmian za kilka czy też kilkadziesiąt lat, jednocześnie odpowiadając niezmiennie na potrzeby wszystkich mieszkańców</w:t>
      </w:r>
      <w:r w:rsidR="00E37C94">
        <w:rPr>
          <w:i/>
          <w:iCs/>
        </w:rPr>
        <w:t xml:space="preserve"> na różnych etapach życia. </w:t>
      </w:r>
      <w:r w:rsidRPr="00990847">
        <w:rPr>
          <w:i/>
          <w:iCs/>
        </w:rPr>
        <w:t xml:space="preserve">Rozwiązania służące młodym rodzinom, osobom pracującym zdalnie czy singlom często okazują </w:t>
      </w:r>
      <w:r>
        <w:rPr>
          <w:i/>
          <w:iCs/>
        </w:rPr>
        <w:t xml:space="preserve">się </w:t>
      </w:r>
      <w:r w:rsidRPr="00990847">
        <w:rPr>
          <w:i/>
          <w:iCs/>
        </w:rPr>
        <w:t>równie istotne dla mieszkańców w późniejszych latach</w:t>
      </w:r>
      <w:r w:rsidRPr="00B76EB4">
        <w:rPr>
          <w:i/>
          <w:iCs/>
        </w:rPr>
        <w:t xml:space="preserve"> </w:t>
      </w:r>
      <w:r>
        <w:t xml:space="preserve">– podkreśla </w:t>
      </w:r>
      <w:r w:rsidR="00E6679B">
        <w:t xml:space="preserve">Adam Urbański, </w:t>
      </w:r>
      <w:r w:rsidR="00A93445">
        <w:t xml:space="preserve">Dyrektor Sprzedaży w </w:t>
      </w:r>
      <w:r>
        <w:t xml:space="preserve">TDJ Estate. </w:t>
      </w:r>
    </w:p>
    <w:p w14:paraId="7603DAB1" w14:textId="77777777" w:rsidR="00461957" w:rsidRPr="00F61091" w:rsidRDefault="00461957" w:rsidP="00461957">
      <w:pPr>
        <w:jc w:val="both"/>
        <w:rPr>
          <w:b/>
          <w:bCs/>
        </w:rPr>
      </w:pPr>
      <w:r w:rsidRPr="00F61091">
        <w:rPr>
          <w:b/>
          <w:bCs/>
        </w:rPr>
        <w:t>Wspólnota jako odpowiedź na samotność</w:t>
      </w:r>
    </w:p>
    <w:p w14:paraId="0CE9BE0D" w14:textId="79A99EA0" w:rsidR="00461957" w:rsidRPr="00F61091" w:rsidRDefault="00461957" w:rsidP="00461957">
      <w:pPr>
        <w:jc w:val="both"/>
      </w:pPr>
      <w:r w:rsidRPr="00F61091">
        <w:lastRenderedPageBreak/>
        <w:t>Jednym z najpoważniejszych</w:t>
      </w:r>
      <w:r>
        <w:t xml:space="preserve"> </w:t>
      </w:r>
      <w:r w:rsidRPr="00F61091">
        <w:t xml:space="preserve">problemów starzejącego się społeczeństwa jest </w:t>
      </w:r>
      <w:r>
        <w:t>rosnący poziom osamotnienia. Jak wynika z badania z 2025 roku, ponad 60 proc. seniorów odczuwa samotność, a blisko 20 proc. zmaga się z nią często lub bardzo często</w:t>
      </w:r>
      <w:r>
        <w:rPr>
          <w:rStyle w:val="Odwoanieprzypisudolnego"/>
        </w:rPr>
        <w:footnoteReference w:id="4"/>
      </w:r>
      <w:r w:rsidR="005C4399">
        <w:t xml:space="preserve">. </w:t>
      </w:r>
      <w:r>
        <w:t xml:space="preserve">Kurczące się sieci relacji wpływają negatywnie na zdrowie psychiczne i fizyczne, a wraz z rosnącą liczbą osób starszych problem ten będzie znacząco wzrastał. </w:t>
      </w:r>
    </w:p>
    <w:p w14:paraId="7E2CB509" w14:textId="0A0AA173" w:rsidR="00461957" w:rsidRPr="00F61091" w:rsidRDefault="00461957" w:rsidP="00461957">
      <w:pPr>
        <w:jc w:val="both"/>
      </w:pPr>
      <w:r w:rsidRPr="00BE48F5">
        <w:rPr>
          <w:i/>
          <w:iCs/>
        </w:rPr>
        <w:t>-</w:t>
      </w:r>
      <w:r>
        <w:rPr>
          <w:i/>
          <w:iCs/>
        </w:rPr>
        <w:t xml:space="preserve"> Odpowiedzią na te wyzwania nie są wyłącznie rządowe programy i polityka publiczna. Również podmioty prywatne, w szczególności deweloperzy, mają realny wpływ na to jak</w:t>
      </w:r>
      <w:r w:rsidR="005C4399">
        <w:rPr>
          <w:i/>
          <w:iCs/>
        </w:rPr>
        <w:t xml:space="preserve">, </w:t>
      </w:r>
      <w:r>
        <w:rPr>
          <w:i/>
          <w:iCs/>
        </w:rPr>
        <w:t xml:space="preserve">realizowane są projekty mieszkaniowe odpowiadające na demograficzne zmiany. Tworzenie przestrzeni takich jak </w:t>
      </w:r>
      <w:r w:rsidRPr="00BE48F5">
        <w:rPr>
          <w:i/>
          <w:iCs/>
        </w:rPr>
        <w:t xml:space="preserve">zielone dziedzińce, kluby mieszkańca, </w:t>
      </w:r>
      <w:r>
        <w:rPr>
          <w:i/>
          <w:iCs/>
        </w:rPr>
        <w:t>miejsca</w:t>
      </w:r>
      <w:r w:rsidRPr="00BE48F5">
        <w:rPr>
          <w:i/>
          <w:iCs/>
        </w:rPr>
        <w:t xml:space="preserve"> do nieformalnych spotkań czy aktywności sąsiedzkiej</w:t>
      </w:r>
      <w:r w:rsidR="00E84AF9">
        <w:rPr>
          <w:i/>
          <w:iCs/>
        </w:rPr>
        <w:t>,</w:t>
      </w:r>
      <w:r w:rsidRPr="00BE48F5">
        <w:rPr>
          <w:i/>
          <w:iCs/>
        </w:rPr>
        <w:t xml:space="preserve"> sprzyja budowaniu relacji międzyludzkich</w:t>
      </w:r>
      <w:r>
        <w:rPr>
          <w:i/>
          <w:iCs/>
        </w:rPr>
        <w:t>, które powstają w sposób naturalny i spontaniczny.</w:t>
      </w:r>
      <w:r w:rsidRPr="00BE48F5">
        <w:rPr>
          <w:i/>
          <w:iCs/>
        </w:rPr>
        <w:t xml:space="preserve"> </w:t>
      </w:r>
      <w:r w:rsidR="00CD0735">
        <w:rPr>
          <w:i/>
          <w:iCs/>
        </w:rPr>
        <w:t>R</w:t>
      </w:r>
      <w:r w:rsidRPr="00BE48F5">
        <w:rPr>
          <w:i/>
          <w:iCs/>
        </w:rPr>
        <w:t xml:space="preserve">ozwiązania </w:t>
      </w:r>
      <w:r w:rsidR="00CD0735">
        <w:rPr>
          <w:i/>
          <w:iCs/>
        </w:rPr>
        <w:t xml:space="preserve">te </w:t>
      </w:r>
      <w:r w:rsidRPr="00BE48F5">
        <w:rPr>
          <w:i/>
          <w:iCs/>
        </w:rPr>
        <w:t>podnoszą jakość życia wszystkich mieszkańców, niezależnie od wieku, a w dłuższej perspektywie mogą skutecznie ograniczać ryzyko izolacji społecznej osób starszych</w:t>
      </w:r>
      <w:r>
        <w:t xml:space="preserve"> – dodaje </w:t>
      </w:r>
      <w:r w:rsidR="009571A2">
        <w:t xml:space="preserve">Adam Urbański. </w:t>
      </w:r>
    </w:p>
    <w:p w14:paraId="142A22F1" w14:textId="77777777" w:rsidR="00461957" w:rsidRPr="00F61091" w:rsidRDefault="00461957" w:rsidP="00461957">
      <w:pPr>
        <w:jc w:val="both"/>
        <w:rPr>
          <w:b/>
          <w:bCs/>
        </w:rPr>
      </w:pPr>
      <w:r>
        <w:rPr>
          <w:b/>
          <w:bCs/>
        </w:rPr>
        <w:t xml:space="preserve">Projektowanie dostępności już dziś </w:t>
      </w:r>
    </w:p>
    <w:p w14:paraId="2F8B3704" w14:textId="33192BCF" w:rsidR="00461957" w:rsidRPr="00F61091" w:rsidRDefault="00E84AF9" w:rsidP="00461957">
      <w:pPr>
        <w:jc w:val="both"/>
      </w:pPr>
      <w:r>
        <w:t>W</w:t>
      </w:r>
      <w:r w:rsidR="00461957" w:rsidRPr="00F61091">
        <w:t>indy, szerokie ciągi komunikacyjne, brak barier architektonicznych czy czytelny układ przestrzeni wspólnych są dziś często postrzegane jako standard</w:t>
      </w:r>
      <w:r w:rsidR="00461957">
        <w:t>, który podnosi</w:t>
      </w:r>
      <w:r w:rsidR="00461957" w:rsidRPr="00F61091">
        <w:t xml:space="preserve"> komfort</w:t>
      </w:r>
      <w:r w:rsidR="00461957">
        <w:t xml:space="preserve"> codziennego życia</w:t>
      </w:r>
      <w:r w:rsidR="00461957" w:rsidRPr="00F61091">
        <w:t>. W perspektywie demograficznej stają się jednak kluczowym warunkiem samodzielności mieszkańców w późniejszych latach życia.</w:t>
      </w:r>
    </w:p>
    <w:p w14:paraId="0ACA6887" w14:textId="71C260BF" w:rsidR="00461957" w:rsidRPr="00F61091" w:rsidRDefault="00461957" w:rsidP="00461957">
      <w:pPr>
        <w:jc w:val="both"/>
      </w:pPr>
      <w:r w:rsidRPr="00F61091">
        <w:t xml:space="preserve">Projektowanie dostępności od początku pozwala uniknąć kosztownych i trudnych adaptacji w przyszłości. Co ważne, nie oznacza to tworzenia rozwiązań dedykowanych wyłącznie osobom starszym, lecz uniwersalne podejście, które </w:t>
      </w:r>
      <w:r>
        <w:t>zwiększa komfort wszystkich mieszkańców, a w szczególności grup o specjalnych potrzebach</w:t>
      </w:r>
      <w:r w:rsidR="008871F4">
        <w:t>,</w:t>
      </w:r>
      <w:r>
        <w:t xml:space="preserve"> np. </w:t>
      </w:r>
      <w:r w:rsidRPr="00F61091">
        <w:t>rodziców z dziećmi, osób z ograniczeniami mobilności czy seniorów.</w:t>
      </w:r>
    </w:p>
    <w:p w14:paraId="1218AEE1" w14:textId="77777777" w:rsidR="00461957" w:rsidRDefault="00461957" w:rsidP="00461957">
      <w:pPr>
        <w:jc w:val="both"/>
      </w:pPr>
      <w:r>
        <w:rPr>
          <w:b/>
          <w:bCs/>
        </w:rPr>
        <w:t xml:space="preserve"> Miasto w zasięgu codziennych potrzeb</w:t>
      </w:r>
    </w:p>
    <w:p w14:paraId="57F9AB2E" w14:textId="419A69AA" w:rsidR="00461957" w:rsidRPr="009E7600" w:rsidRDefault="00461957" w:rsidP="00461957">
      <w:pPr>
        <w:jc w:val="both"/>
      </w:pPr>
      <w:r w:rsidRPr="009E7600">
        <w:t xml:space="preserve">Inwestycje realizowane w centralnych częściach miast w naturalny sposób zapewniają bliskość infrastruktury miejskiej.  Z perspektywy mieszkańców kluczowe znaczenie ma jednak przede wszystkim łatwość i wygoda codziennego dostępu do niezbędnych usług oraz sprawna komunikacja, przy czym potrzeby te zmieniają się wraz z wiekiem i stylem życia. Dlatego rola dewelopera nie ogranicza się wyłącznie do wyboru atrakcyjnej działki pod względem zabudowy, ale obejmuje także analizę i rozwój powiązań komunikacyjnych oraz </w:t>
      </w:r>
      <w:r w:rsidR="00C01F32" w:rsidRPr="00C01F32">
        <w:t xml:space="preserve">szeroką współpracę z podmiotami publicznymi i prywatnymi w zakresie </w:t>
      </w:r>
      <w:r w:rsidR="00C01F32" w:rsidRPr="00C01F32">
        <w:lastRenderedPageBreak/>
        <w:t>kształtowania otoczenia inwestycji</w:t>
      </w:r>
      <w:r w:rsidR="00C01F32">
        <w:t xml:space="preserve">. </w:t>
      </w:r>
      <w:r w:rsidRPr="009E7600">
        <w:t>Celem tych działań jest stopniowe podnoszenie dostępności usług odpowiadających na codzienne potrzeby mieszkańców.</w:t>
      </w:r>
    </w:p>
    <w:p w14:paraId="2028DB74" w14:textId="73AB8D0E" w:rsidR="00461957" w:rsidRPr="00F61091" w:rsidRDefault="00461957" w:rsidP="00461957">
      <w:pPr>
        <w:jc w:val="both"/>
      </w:pPr>
      <w:r>
        <w:t xml:space="preserve">- </w:t>
      </w:r>
      <w:r w:rsidRPr="009E7600">
        <w:rPr>
          <w:i/>
          <w:iCs/>
        </w:rPr>
        <w:t xml:space="preserve">Szczególnie istotne jest systematyczne monitorowanie oczekiwań społecznych i elastyczne dostosowywanie oferty usługowej. Takie podejście wspiera samodzielność </w:t>
      </w:r>
      <w:r w:rsidR="00977728">
        <w:rPr>
          <w:i/>
          <w:iCs/>
        </w:rPr>
        <w:t xml:space="preserve">oraz </w:t>
      </w:r>
      <w:r w:rsidRPr="009E7600">
        <w:rPr>
          <w:i/>
          <w:iCs/>
        </w:rPr>
        <w:t>aktywność mieszkańców na różnych etapach życia. Tworząc katowicką</w:t>
      </w:r>
      <w:r>
        <w:t xml:space="preserve"> </w:t>
      </w:r>
      <w:r w:rsidRPr="00B76EB4">
        <w:rPr>
          <w:i/>
          <w:iCs/>
        </w:rPr>
        <w:t>Pierwsz</w:t>
      </w:r>
      <w:r>
        <w:rPr>
          <w:i/>
          <w:iCs/>
        </w:rPr>
        <w:t>ą</w:t>
      </w:r>
      <w:r w:rsidRPr="00B76EB4">
        <w:rPr>
          <w:i/>
          <w:iCs/>
        </w:rPr>
        <w:t xml:space="preserve"> Dzielnic</w:t>
      </w:r>
      <w:r>
        <w:rPr>
          <w:i/>
          <w:iCs/>
        </w:rPr>
        <w:t xml:space="preserve">ę, zależało nam, aby stała się ona wzorem osiedla, które nie jest </w:t>
      </w:r>
      <w:r w:rsidRPr="00B76EB4">
        <w:rPr>
          <w:i/>
          <w:iCs/>
        </w:rPr>
        <w:t>zamkniętą enklawą, lecz integralną częścią miejskiego ekosystemu. Bliskość infrastruktury, usług i przestrzeni publicznych sprawi</w:t>
      </w:r>
      <w:r w:rsidR="00E0273D">
        <w:rPr>
          <w:i/>
          <w:iCs/>
        </w:rPr>
        <w:t>a</w:t>
      </w:r>
      <w:r w:rsidRPr="00B76EB4">
        <w:rPr>
          <w:i/>
          <w:iCs/>
        </w:rPr>
        <w:t>, że codzienne potrzeby mieszkańców</w:t>
      </w:r>
      <w:r>
        <w:rPr>
          <w:i/>
          <w:iCs/>
        </w:rPr>
        <w:t>,</w:t>
      </w:r>
      <w:r w:rsidRPr="00B76EB4">
        <w:rPr>
          <w:i/>
          <w:iCs/>
        </w:rPr>
        <w:t xml:space="preserve"> także te w dłuższej perspektywie życia</w:t>
      </w:r>
      <w:r>
        <w:rPr>
          <w:i/>
          <w:iCs/>
        </w:rPr>
        <w:t>, są dostępne</w:t>
      </w:r>
      <w:r w:rsidRPr="00B76EB4">
        <w:rPr>
          <w:i/>
          <w:iCs/>
        </w:rPr>
        <w:t xml:space="preserve"> w zasięgu kilku minut </w:t>
      </w:r>
      <w:r>
        <w:t xml:space="preserve">– zaznacza </w:t>
      </w:r>
      <w:r w:rsidR="00E35220">
        <w:t>Jakub Kwiecień</w:t>
      </w:r>
      <w:r>
        <w:t xml:space="preserve">, </w:t>
      </w:r>
      <w:r w:rsidR="00FF395B" w:rsidRPr="00FF395B">
        <w:t>Manager ds. Sprzedaży inwestycji Pierwsza Dzielnica, TDJ Estate.</w:t>
      </w:r>
    </w:p>
    <w:p w14:paraId="5A77BF84" w14:textId="42374C8C" w:rsidR="00461957" w:rsidRPr="00EC61B5" w:rsidRDefault="00461957" w:rsidP="00461957">
      <w:pPr>
        <w:jc w:val="both"/>
      </w:pPr>
      <w:r w:rsidRPr="00EC61B5">
        <w:t xml:space="preserve">W obliczu zmian demograficznych odpowiedzialność branży deweloperskiej wykracza poza pojedyncze inwestycje </w:t>
      </w:r>
      <w:r w:rsidR="00E0273D">
        <w:t>oraz</w:t>
      </w:r>
      <w:r w:rsidRPr="00EC61B5">
        <w:t xml:space="preserve"> krótkoterminowe potrzeby rynku. Decyzje projektowe i urbanistyczne podejmowane dziś</w:t>
      </w:r>
      <w:r w:rsidR="00CF2F9E">
        <w:t>,</w:t>
      </w:r>
      <w:r w:rsidRPr="00EC61B5">
        <w:t xml:space="preserve"> będą kształtować jakość życia mieszkańców</w:t>
      </w:r>
      <w:r w:rsidR="00CF2F9E">
        <w:t xml:space="preserve"> i</w:t>
      </w:r>
      <w:r w:rsidRPr="00EC61B5">
        <w:t xml:space="preserve"> spójność społeczną miast przez kolejne dekady. Długofalowe myślenie oznacza tworzenie przestrzeni elastycznych, dostępnych i sprzyjających relacjom</w:t>
      </w:r>
      <w:r>
        <w:t xml:space="preserve"> - </w:t>
      </w:r>
      <w:r w:rsidRPr="00EC61B5">
        <w:t>takich, które mogą ewoluować wraz ze zmieniającymi się potrzebami społeczności.</w:t>
      </w:r>
    </w:p>
    <w:p w14:paraId="5CE934D7" w14:textId="74A07954" w:rsidR="00461957" w:rsidRPr="00461957" w:rsidRDefault="00461957" w:rsidP="00461957">
      <w:pPr>
        <w:tabs>
          <w:tab w:val="left" w:pos="3072"/>
        </w:tabs>
        <w:jc w:val="both"/>
      </w:pPr>
      <w:r>
        <w:tab/>
      </w:r>
    </w:p>
    <w:p w14:paraId="228AB729" w14:textId="2F393FAC" w:rsidR="00842D0E" w:rsidRPr="00AB48A7" w:rsidRDefault="00842D0E" w:rsidP="00DC3A02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t>*** </w:t>
      </w:r>
    </w:p>
    <w:p w14:paraId="3EA15744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TDJ Estate jest częścią grupy TDJ, rodzinnej firmy inwestycyjnej, która buduje długoterminową wartość, realizując projekty w obszarach: Equity, Venture, Estate, Finance i Foundation. W portfolio TDJ Estate znajdują się nagradzane inwestycje biurowe i mieszkaniowe</w:t>
      </w:r>
      <w:r>
        <w:rPr>
          <w:sz w:val="18"/>
          <w:szCs w:val="18"/>
        </w:rPr>
        <w:t xml:space="preserve">. </w:t>
      </w:r>
    </w:p>
    <w:p w14:paraId="4E9DAE75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Flagową inwestycją TDJ Estate jest kompleks biurowy .KTW – jeden z symboli nowoczesnej architektury Katowic, zlokalizowany w Strefie Kultury, w bezpośrednim sąsiedztwie Spodka i Międzynarodowego Centrum Kongresowego. Projekt zdobył liczne nagrody, w tym European Property Awards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123AA7C8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TDJ Estate sprzedało już ponad 2700 mieszkań</w:t>
      </w:r>
      <w:r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F20A2E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Stref</w:t>
      </w:r>
      <w:r>
        <w:rPr>
          <w:sz w:val="18"/>
          <w:szCs w:val="18"/>
        </w:rPr>
        <w:t xml:space="preserve">ie </w:t>
      </w:r>
      <w:r w:rsidRPr="00D75C18">
        <w:rPr>
          <w:sz w:val="18"/>
          <w:szCs w:val="18"/>
        </w:rPr>
        <w:t xml:space="preserve">Kultury, nagrodzona m.in. w konkursie </w:t>
      </w:r>
      <w:r w:rsidRPr="00F20A2E">
        <w:rPr>
          <w:sz w:val="18"/>
          <w:szCs w:val="18"/>
        </w:rPr>
        <w:t>European Property Awards</w:t>
      </w:r>
      <w:r w:rsidRPr="00D75C18">
        <w:rPr>
          <w:sz w:val="18"/>
          <w:szCs w:val="18"/>
        </w:rPr>
        <w:t>.</w:t>
      </w:r>
    </w:p>
    <w:p w14:paraId="6F435EFF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Do innych, rozpoznawalnych na Górnym Śląsku inwestycji dewelopera należą m.in.: zakończone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F20A2E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r w:rsidRPr="00F20A2E">
        <w:rPr>
          <w:sz w:val="18"/>
          <w:szCs w:val="18"/>
        </w:rPr>
        <w:t>Dobrynów</w:t>
      </w:r>
      <w:r w:rsidRPr="00D75C1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>
        <w:rPr>
          <w:sz w:val="18"/>
          <w:szCs w:val="18"/>
        </w:rPr>
        <w:t xml:space="preserve">a także </w:t>
      </w:r>
      <w:r w:rsidRPr="00F20A2E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F20A2E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06A05773" w14:textId="5E0EF733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Krakowie – </w:t>
      </w:r>
      <w:r w:rsidRPr="00F20A2E">
        <w:rPr>
          <w:sz w:val="18"/>
          <w:szCs w:val="18"/>
        </w:rPr>
        <w:t>Osiedle Imbramowskie</w:t>
      </w:r>
      <w:r w:rsidR="0027345A">
        <w:rPr>
          <w:sz w:val="18"/>
          <w:szCs w:val="18"/>
        </w:rPr>
        <w:t xml:space="preserve"> </w:t>
      </w:r>
      <w:r w:rsidR="0027345A" w:rsidRPr="00427099">
        <w:rPr>
          <w:sz w:val="18"/>
          <w:szCs w:val="18"/>
        </w:rPr>
        <w:t xml:space="preserve">oraz </w:t>
      </w:r>
      <w:r w:rsidRPr="00427099">
        <w:rPr>
          <w:sz w:val="18"/>
          <w:szCs w:val="18"/>
        </w:rPr>
        <w:t>osiedle Meiera.</w:t>
      </w:r>
    </w:p>
    <w:p w14:paraId="50477F2A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455E5B49" w14:textId="2464707A" w:rsidR="006C1483" w:rsidRPr="004079E2" w:rsidRDefault="00842D0E" w:rsidP="004079E2">
      <w:pPr>
        <w:jc w:val="both"/>
      </w:pPr>
      <w:r w:rsidRPr="007B02F6">
        <w:rPr>
          <w:sz w:val="18"/>
          <w:szCs w:val="18"/>
        </w:rPr>
        <w:t xml:space="preserve">Więcej informacji na stronie: </w:t>
      </w:r>
      <w:hyperlink r:id="rId7" w:history="1">
        <w:r w:rsidRPr="007B02F6">
          <w:rPr>
            <w:rStyle w:val="Hipercze"/>
            <w:sz w:val="18"/>
            <w:szCs w:val="18"/>
          </w:rPr>
          <w:t>www.tdjestate.pl</w:t>
        </w:r>
      </w:hyperlink>
    </w:p>
    <w:sectPr w:rsidR="006C1483" w:rsidRPr="004079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5CDD" w14:textId="77777777" w:rsidR="008E2305" w:rsidRDefault="008E2305" w:rsidP="001F533E">
      <w:pPr>
        <w:spacing w:after="0" w:line="240" w:lineRule="auto"/>
      </w:pPr>
      <w:r>
        <w:separator/>
      </w:r>
    </w:p>
  </w:endnote>
  <w:endnote w:type="continuationSeparator" w:id="0">
    <w:p w14:paraId="459874F9" w14:textId="77777777" w:rsidR="008E2305" w:rsidRDefault="008E2305" w:rsidP="001F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9E1B" w14:textId="77777777" w:rsidR="008E2305" w:rsidRDefault="008E2305" w:rsidP="001F533E">
      <w:pPr>
        <w:spacing w:after="0" w:line="240" w:lineRule="auto"/>
      </w:pPr>
      <w:r>
        <w:separator/>
      </w:r>
    </w:p>
  </w:footnote>
  <w:footnote w:type="continuationSeparator" w:id="0">
    <w:p w14:paraId="46CF3551" w14:textId="77777777" w:rsidR="008E2305" w:rsidRDefault="008E2305" w:rsidP="001F533E">
      <w:pPr>
        <w:spacing w:after="0" w:line="240" w:lineRule="auto"/>
      </w:pPr>
      <w:r>
        <w:continuationSeparator/>
      </w:r>
    </w:p>
  </w:footnote>
  <w:footnote w:id="1">
    <w:p w14:paraId="495D5B7B" w14:textId="5D0A6405" w:rsidR="00461957" w:rsidRPr="0087096F" w:rsidRDefault="00461957" w:rsidP="00461957">
      <w:pPr>
        <w:pStyle w:val="Tekstprzypisudolnego"/>
        <w:rPr>
          <w:rFonts w:ascii="Calibri" w:hAnsi="Calibri" w:cs="Calibri"/>
          <w:sz w:val="18"/>
          <w:szCs w:val="18"/>
        </w:rPr>
      </w:pPr>
      <w:r w:rsidRPr="008709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7096F">
        <w:rPr>
          <w:rFonts w:ascii="Calibri" w:hAnsi="Calibri" w:cs="Calibri"/>
          <w:sz w:val="18"/>
          <w:szCs w:val="18"/>
        </w:rPr>
        <w:t xml:space="preserve"> Informacja o sytuacji osób starszych w Polsce za 2023 r, Minister ds. Polityki Senioralnej, 2024</w:t>
      </w:r>
    </w:p>
  </w:footnote>
  <w:footnote w:id="2">
    <w:p w14:paraId="1D8B4B29" w14:textId="7F1FD00E" w:rsidR="00461957" w:rsidRPr="0087096F" w:rsidRDefault="00461957" w:rsidP="00461957">
      <w:pPr>
        <w:pStyle w:val="Tekstprzypisudolnego"/>
        <w:rPr>
          <w:rFonts w:ascii="Calibri" w:hAnsi="Calibri" w:cs="Calibri"/>
          <w:sz w:val="18"/>
          <w:szCs w:val="18"/>
        </w:rPr>
      </w:pPr>
      <w:r w:rsidRPr="008709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7096F">
        <w:rPr>
          <w:rFonts w:ascii="Calibri" w:hAnsi="Calibri" w:cs="Calibri"/>
          <w:sz w:val="18"/>
          <w:szCs w:val="18"/>
        </w:rPr>
        <w:t xml:space="preserve"> Raport „Dom z sensem: co naprawdę kryje się za przeprowadzkami Polaków”, Otodom, 2025</w:t>
      </w:r>
    </w:p>
  </w:footnote>
  <w:footnote w:id="3">
    <w:p w14:paraId="03CF36B2" w14:textId="3A52373E" w:rsidR="00461957" w:rsidRDefault="00461957" w:rsidP="00461957">
      <w:pPr>
        <w:pStyle w:val="Tekstprzypisudolnego"/>
      </w:pPr>
      <w:r w:rsidRPr="008709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7096F">
        <w:rPr>
          <w:rFonts w:ascii="Calibri" w:hAnsi="Calibri" w:cs="Calibri"/>
          <w:sz w:val="18"/>
          <w:szCs w:val="18"/>
        </w:rPr>
        <w:t xml:space="preserve"> Raport „To my. Kupujący 2025” Nieruchomosci-online.pl, 2025</w:t>
      </w:r>
    </w:p>
  </w:footnote>
  <w:footnote w:id="4">
    <w:p w14:paraId="3F71F320" w14:textId="030193B0" w:rsidR="00461957" w:rsidRPr="0087096F" w:rsidRDefault="00461957" w:rsidP="00461957">
      <w:pPr>
        <w:pStyle w:val="Tekstprzypisudolnego"/>
        <w:rPr>
          <w:rFonts w:ascii="Calibri" w:hAnsi="Calibri" w:cs="Calibri"/>
          <w:sz w:val="18"/>
          <w:szCs w:val="18"/>
        </w:rPr>
      </w:pPr>
      <w:r w:rsidRPr="008709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7096F">
        <w:rPr>
          <w:rFonts w:ascii="Calibri" w:hAnsi="Calibri" w:cs="Calibri"/>
          <w:sz w:val="18"/>
          <w:szCs w:val="18"/>
        </w:rPr>
        <w:t xml:space="preserve"> Badanie Polskiego Czerwonego Krzyża „Zrozumienie potrzeb i wyzwań stojących przed osobami 60+”, 202</w:t>
      </w:r>
      <w:r w:rsidR="00D33A33" w:rsidRPr="0087096F">
        <w:rPr>
          <w:rFonts w:ascii="Calibri" w:hAnsi="Calibri" w:cs="Calibri"/>
          <w:sz w:val="18"/>
          <w:szCs w:val="18"/>
        </w:rPr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51B6" w14:textId="1FCFD613" w:rsidR="001F533E" w:rsidRDefault="001F533E">
    <w:pPr>
      <w:pStyle w:val="Nagwek"/>
    </w:pPr>
    <w:r>
      <w:rPr>
        <w:noProof/>
      </w:rPr>
      <w:drawing>
        <wp:inline distT="0" distB="0" distL="0" distR="0" wp14:anchorId="7D1965DC" wp14:editId="16E06CD6">
          <wp:extent cx="1231315" cy="1089660"/>
          <wp:effectExtent l="0" t="0" r="0" b="0"/>
          <wp:docPr id="1337271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FE7"/>
    <w:multiLevelType w:val="multilevel"/>
    <w:tmpl w:val="81BC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B11"/>
    <w:multiLevelType w:val="multilevel"/>
    <w:tmpl w:val="A62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33CB"/>
    <w:multiLevelType w:val="multilevel"/>
    <w:tmpl w:val="57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3B36"/>
    <w:multiLevelType w:val="multilevel"/>
    <w:tmpl w:val="956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730E5"/>
    <w:multiLevelType w:val="multilevel"/>
    <w:tmpl w:val="1BE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513"/>
    <w:multiLevelType w:val="multilevel"/>
    <w:tmpl w:val="BE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C3B71"/>
    <w:multiLevelType w:val="multilevel"/>
    <w:tmpl w:val="1DC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7181">
    <w:abstractNumId w:val="3"/>
  </w:num>
  <w:num w:numId="2" w16cid:durableId="644237864">
    <w:abstractNumId w:val="6"/>
  </w:num>
  <w:num w:numId="3" w16cid:durableId="320472250">
    <w:abstractNumId w:val="0"/>
  </w:num>
  <w:num w:numId="4" w16cid:durableId="682131393">
    <w:abstractNumId w:val="5"/>
  </w:num>
  <w:num w:numId="5" w16cid:durableId="521817972">
    <w:abstractNumId w:val="4"/>
  </w:num>
  <w:num w:numId="6" w16cid:durableId="244342025">
    <w:abstractNumId w:val="1"/>
  </w:num>
  <w:num w:numId="7" w16cid:durableId="120317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03"/>
    <w:rsid w:val="00001D6D"/>
    <w:rsid w:val="0000579A"/>
    <w:rsid w:val="000134A8"/>
    <w:rsid w:val="00015DE8"/>
    <w:rsid w:val="000220D9"/>
    <w:rsid w:val="00027974"/>
    <w:rsid w:val="000412F4"/>
    <w:rsid w:val="00043A71"/>
    <w:rsid w:val="00043EEE"/>
    <w:rsid w:val="000441EC"/>
    <w:rsid w:val="000509FE"/>
    <w:rsid w:val="000513F9"/>
    <w:rsid w:val="00052183"/>
    <w:rsid w:val="00052246"/>
    <w:rsid w:val="00056A75"/>
    <w:rsid w:val="00057F47"/>
    <w:rsid w:val="00061AF7"/>
    <w:rsid w:val="00066958"/>
    <w:rsid w:val="00083940"/>
    <w:rsid w:val="00087A22"/>
    <w:rsid w:val="00091802"/>
    <w:rsid w:val="0009393E"/>
    <w:rsid w:val="0009668C"/>
    <w:rsid w:val="000A292F"/>
    <w:rsid w:val="000A6436"/>
    <w:rsid w:val="000B0748"/>
    <w:rsid w:val="000B235F"/>
    <w:rsid w:val="000B24A0"/>
    <w:rsid w:val="000C7BD7"/>
    <w:rsid w:val="000D1A8F"/>
    <w:rsid w:val="000D1D52"/>
    <w:rsid w:val="000E30BC"/>
    <w:rsid w:val="000F10C2"/>
    <w:rsid w:val="000F30E1"/>
    <w:rsid w:val="000F7C2E"/>
    <w:rsid w:val="0010366B"/>
    <w:rsid w:val="00110517"/>
    <w:rsid w:val="001208E3"/>
    <w:rsid w:val="00120E09"/>
    <w:rsid w:val="00120E15"/>
    <w:rsid w:val="0014186F"/>
    <w:rsid w:val="00143FEA"/>
    <w:rsid w:val="00151F8D"/>
    <w:rsid w:val="001565C0"/>
    <w:rsid w:val="0017044E"/>
    <w:rsid w:val="001708E4"/>
    <w:rsid w:val="00172D6F"/>
    <w:rsid w:val="00175A7F"/>
    <w:rsid w:val="0018228D"/>
    <w:rsid w:val="00191AF6"/>
    <w:rsid w:val="001933E1"/>
    <w:rsid w:val="001956A9"/>
    <w:rsid w:val="001A1D60"/>
    <w:rsid w:val="001A1FE4"/>
    <w:rsid w:val="001C090A"/>
    <w:rsid w:val="001C19B8"/>
    <w:rsid w:val="001C2E15"/>
    <w:rsid w:val="001C70C1"/>
    <w:rsid w:val="001D62D8"/>
    <w:rsid w:val="001D79B1"/>
    <w:rsid w:val="001E044E"/>
    <w:rsid w:val="001E7356"/>
    <w:rsid w:val="001F533E"/>
    <w:rsid w:val="002108B0"/>
    <w:rsid w:val="002165B6"/>
    <w:rsid w:val="0022295E"/>
    <w:rsid w:val="00225792"/>
    <w:rsid w:val="0022651A"/>
    <w:rsid w:val="00231F4D"/>
    <w:rsid w:val="002321B7"/>
    <w:rsid w:val="00233D33"/>
    <w:rsid w:val="0024397E"/>
    <w:rsid w:val="00262FCC"/>
    <w:rsid w:val="00265F1A"/>
    <w:rsid w:val="0027345A"/>
    <w:rsid w:val="00280662"/>
    <w:rsid w:val="00284AF0"/>
    <w:rsid w:val="00286312"/>
    <w:rsid w:val="002A046C"/>
    <w:rsid w:val="002A1AE8"/>
    <w:rsid w:val="002A2F54"/>
    <w:rsid w:val="002A4E67"/>
    <w:rsid w:val="002B6414"/>
    <w:rsid w:val="002B78D0"/>
    <w:rsid w:val="002C71C5"/>
    <w:rsid w:val="002D477C"/>
    <w:rsid w:val="002E0FDA"/>
    <w:rsid w:val="002E1B03"/>
    <w:rsid w:val="002E7F6C"/>
    <w:rsid w:val="002F108D"/>
    <w:rsid w:val="002F4BA9"/>
    <w:rsid w:val="00300129"/>
    <w:rsid w:val="003069A8"/>
    <w:rsid w:val="003159DA"/>
    <w:rsid w:val="00315CB1"/>
    <w:rsid w:val="003215D1"/>
    <w:rsid w:val="00322B68"/>
    <w:rsid w:val="00322D80"/>
    <w:rsid w:val="0032384F"/>
    <w:rsid w:val="0032482D"/>
    <w:rsid w:val="003264F3"/>
    <w:rsid w:val="00326FFD"/>
    <w:rsid w:val="00333A36"/>
    <w:rsid w:val="003349CF"/>
    <w:rsid w:val="00337633"/>
    <w:rsid w:val="003433D1"/>
    <w:rsid w:val="00346976"/>
    <w:rsid w:val="00346DA1"/>
    <w:rsid w:val="00347683"/>
    <w:rsid w:val="003510F8"/>
    <w:rsid w:val="0036237F"/>
    <w:rsid w:val="003648B2"/>
    <w:rsid w:val="00390332"/>
    <w:rsid w:val="003928AD"/>
    <w:rsid w:val="00393AB9"/>
    <w:rsid w:val="0039493A"/>
    <w:rsid w:val="003955AA"/>
    <w:rsid w:val="003A0046"/>
    <w:rsid w:val="003A19CF"/>
    <w:rsid w:val="003A3446"/>
    <w:rsid w:val="003A4337"/>
    <w:rsid w:val="003A4869"/>
    <w:rsid w:val="003B0D1A"/>
    <w:rsid w:val="003B243A"/>
    <w:rsid w:val="003B3881"/>
    <w:rsid w:val="003C47C5"/>
    <w:rsid w:val="003C695D"/>
    <w:rsid w:val="003D3023"/>
    <w:rsid w:val="003E57D2"/>
    <w:rsid w:val="003E5F84"/>
    <w:rsid w:val="003F56D9"/>
    <w:rsid w:val="00401980"/>
    <w:rsid w:val="00403456"/>
    <w:rsid w:val="0040512D"/>
    <w:rsid w:val="004079E2"/>
    <w:rsid w:val="004231BB"/>
    <w:rsid w:val="00424AA5"/>
    <w:rsid w:val="00427099"/>
    <w:rsid w:val="004335C1"/>
    <w:rsid w:val="00447B97"/>
    <w:rsid w:val="00451E78"/>
    <w:rsid w:val="00461957"/>
    <w:rsid w:val="004648F2"/>
    <w:rsid w:val="0046564B"/>
    <w:rsid w:val="00473E87"/>
    <w:rsid w:val="00480C9F"/>
    <w:rsid w:val="0048548C"/>
    <w:rsid w:val="0048563F"/>
    <w:rsid w:val="0048601B"/>
    <w:rsid w:val="004922DB"/>
    <w:rsid w:val="004A0EAE"/>
    <w:rsid w:val="004C2E98"/>
    <w:rsid w:val="004C32EB"/>
    <w:rsid w:val="004C4044"/>
    <w:rsid w:val="004C4867"/>
    <w:rsid w:val="004C7147"/>
    <w:rsid w:val="004D4EEF"/>
    <w:rsid w:val="004E020B"/>
    <w:rsid w:val="004F109C"/>
    <w:rsid w:val="004F15EC"/>
    <w:rsid w:val="00500934"/>
    <w:rsid w:val="005015B8"/>
    <w:rsid w:val="00504CB3"/>
    <w:rsid w:val="00507283"/>
    <w:rsid w:val="00515B35"/>
    <w:rsid w:val="0052070C"/>
    <w:rsid w:val="00525644"/>
    <w:rsid w:val="00536C7A"/>
    <w:rsid w:val="00541AC3"/>
    <w:rsid w:val="005448B0"/>
    <w:rsid w:val="00552259"/>
    <w:rsid w:val="005526F2"/>
    <w:rsid w:val="00553DE5"/>
    <w:rsid w:val="00554B42"/>
    <w:rsid w:val="00564FD5"/>
    <w:rsid w:val="005710FF"/>
    <w:rsid w:val="0057124B"/>
    <w:rsid w:val="00584361"/>
    <w:rsid w:val="00585943"/>
    <w:rsid w:val="00591C04"/>
    <w:rsid w:val="005949E1"/>
    <w:rsid w:val="005B0802"/>
    <w:rsid w:val="005B53D6"/>
    <w:rsid w:val="005C085F"/>
    <w:rsid w:val="005C374F"/>
    <w:rsid w:val="005C3DA3"/>
    <w:rsid w:val="005C4399"/>
    <w:rsid w:val="005C5CD3"/>
    <w:rsid w:val="005C5E62"/>
    <w:rsid w:val="005E186D"/>
    <w:rsid w:val="005E79CE"/>
    <w:rsid w:val="005F20C1"/>
    <w:rsid w:val="00607EF5"/>
    <w:rsid w:val="00610CED"/>
    <w:rsid w:val="006134BF"/>
    <w:rsid w:val="00616FE8"/>
    <w:rsid w:val="0062562D"/>
    <w:rsid w:val="00641981"/>
    <w:rsid w:val="00642292"/>
    <w:rsid w:val="00645569"/>
    <w:rsid w:val="006456FC"/>
    <w:rsid w:val="00651A28"/>
    <w:rsid w:val="00657D04"/>
    <w:rsid w:val="00657F74"/>
    <w:rsid w:val="00660E59"/>
    <w:rsid w:val="00683A4A"/>
    <w:rsid w:val="00687470"/>
    <w:rsid w:val="006938E0"/>
    <w:rsid w:val="00694309"/>
    <w:rsid w:val="00697DEF"/>
    <w:rsid w:val="006A3617"/>
    <w:rsid w:val="006A6328"/>
    <w:rsid w:val="006B0312"/>
    <w:rsid w:val="006B1C9E"/>
    <w:rsid w:val="006C1483"/>
    <w:rsid w:val="006C2A42"/>
    <w:rsid w:val="006C5266"/>
    <w:rsid w:val="006D001A"/>
    <w:rsid w:val="006D304E"/>
    <w:rsid w:val="006D39D2"/>
    <w:rsid w:val="006E06FD"/>
    <w:rsid w:val="006E39ED"/>
    <w:rsid w:val="006F7DEC"/>
    <w:rsid w:val="007050D0"/>
    <w:rsid w:val="007063D1"/>
    <w:rsid w:val="00707A02"/>
    <w:rsid w:val="00712621"/>
    <w:rsid w:val="00712F2B"/>
    <w:rsid w:val="00714463"/>
    <w:rsid w:val="00716E08"/>
    <w:rsid w:val="007267AC"/>
    <w:rsid w:val="0073290E"/>
    <w:rsid w:val="0073629F"/>
    <w:rsid w:val="007362E2"/>
    <w:rsid w:val="007365CD"/>
    <w:rsid w:val="007407C5"/>
    <w:rsid w:val="0075518E"/>
    <w:rsid w:val="00757760"/>
    <w:rsid w:val="00762B01"/>
    <w:rsid w:val="00762D80"/>
    <w:rsid w:val="00765973"/>
    <w:rsid w:val="0077246D"/>
    <w:rsid w:val="00773FFC"/>
    <w:rsid w:val="00775AFC"/>
    <w:rsid w:val="00775F51"/>
    <w:rsid w:val="00776A1D"/>
    <w:rsid w:val="0078473A"/>
    <w:rsid w:val="007854E1"/>
    <w:rsid w:val="00797184"/>
    <w:rsid w:val="007A53D1"/>
    <w:rsid w:val="007C0585"/>
    <w:rsid w:val="007C0CE0"/>
    <w:rsid w:val="007C1A73"/>
    <w:rsid w:val="007C5C86"/>
    <w:rsid w:val="007D1CE8"/>
    <w:rsid w:val="007E409F"/>
    <w:rsid w:val="007F559B"/>
    <w:rsid w:val="007F76A5"/>
    <w:rsid w:val="00800556"/>
    <w:rsid w:val="00800727"/>
    <w:rsid w:val="008023F2"/>
    <w:rsid w:val="008138CF"/>
    <w:rsid w:val="00813A44"/>
    <w:rsid w:val="0081700D"/>
    <w:rsid w:val="00821E22"/>
    <w:rsid w:val="008268DC"/>
    <w:rsid w:val="008305EF"/>
    <w:rsid w:val="0083326E"/>
    <w:rsid w:val="008350B4"/>
    <w:rsid w:val="0083588E"/>
    <w:rsid w:val="00841903"/>
    <w:rsid w:val="00842D0E"/>
    <w:rsid w:val="00844F01"/>
    <w:rsid w:val="00845B45"/>
    <w:rsid w:val="00857EDA"/>
    <w:rsid w:val="008632DF"/>
    <w:rsid w:val="008708B9"/>
    <w:rsid w:val="0087096F"/>
    <w:rsid w:val="0087145B"/>
    <w:rsid w:val="008747C2"/>
    <w:rsid w:val="00874B67"/>
    <w:rsid w:val="008854CB"/>
    <w:rsid w:val="008871F4"/>
    <w:rsid w:val="00892C5E"/>
    <w:rsid w:val="0089584F"/>
    <w:rsid w:val="008B4E13"/>
    <w:rsid w:val="008C0856"/>
    <w:rsid w:val="008C16CA"/>
    <w:rsid w:val="008C1BEE"/>
    <w:rsid w:val="008C4938"/>
    <w:rsid w:val="008D0B4E"/>
    <w:rsid w:val="008D279D"/>
    <w:rsid w:val="008D4687"/>
    <w:rsid w:val="008D7330"/>
    <w:rsid w:val="008D79D0"/>
    <w:rsid w:val="008E2305"/>
    <w:rsid w:val="008E327C"/>
    <w:rsid w:val="0091199B"/>
    <w:rsid w:val="00916F7C"/>
    <w:rsid w:val="00921869"/>
    <w:rsid w:val="00927262"/>
    <w:rsid w:val="0092797E"/>
    <w:rsid w:val="0094055C"/>
    <w:rsid w:val="00941341"/>
    <w:rsid w:val="00943F09"/>
    <w:rsid w:val="00944E65"/>
    <w:rsid w:val="009465F1"/>
    <w:rsid w:val="009571A2"/>
    <w:rsid w:val="00957E3F"/>
    <w:rsid w:val="00960CA2"/>
    <w:rsid w:val="00964E4D"/>
    <w:rsid w:val="00966D3E"/>
    <w:rsid w:val="00967935"/>
    <w:rsid w:val="00972747"/>
    <w:rsid w:val="00977728"/>
    <w:rsid w:val="00984330"/>
    <w:rsid w:val="00985333"/>
    <w:rsid w:val="00993D53"/>
    <w:rsid w:val="0099511D"/>
    <w:rsid w:val="009958D2"/>
    <w:rsid w:val="00997CE5"/>
    <w:rsid w:val="009B04CA"/>
    <w:rsid w:val="009B2BCC"/>
    <w:rsid w:val="009B53B6"/>
    <w:rsid w:val="009C0A60"/>
    <w:rsid w:val="009C5DC7"/>
    <w:rsid w:val="009C6DD7"/>
    <w:rsid w:val="009D13E5"/>
    <w:rsid w:val="009D1428"/>
    <w:rsid w:val="009D70B9"/>
    <w:rsid w:val="009D7595"/>
    <w:rsid w:val="009E1213"/>
    <w:rsid w:val="009F5CA8"/>
    <w:rsid w:val="00A002F8"/>
    <w:rsid w:val="00A003B1"/>
    <w:rsid w:val="00A03FBD"/>
    <w:rsid w:val="00A1463A"/>
    <w:rsid w:val="00A2594D"/>
    <w:rsid w:val="00A259DC"/>
    <w:rsid w:val="00A2607E"/>
    <w:rsid w:val="00A32AB8"/>
    <w:rsid w:val="00A3320F"/>
    <w:rsid w:val="00A428EC"/>
    <w:rsid w:val="00A51E12"/>
    <w:rsid w:val="00A54977"/>
    <w:rsid w:val="00A6229E"/>
    <w:rsid w:val="00A646B6"/>
    <w:rsid w:val="00A646DA"/>
    <w:rsid w:val="00A65EBB"/>
    <w:rsid w:val="00A70858"/>
    <w:rsid w:val="00A72555"/>
    <w:rsid w:val="00A93445"/>
    <w:rsid w:val="00AA3D4C"/>
    <w:rsid w:val="00AB42D3"/>
    <w:rsid w:val="00AC2D33"/>
    <w:rsid w:val="00AC4086"/>
    <w:rsid w:val="00AC6673"/>
    <w:rsid w:val="00AD2670"/>
    <w:rsid w:val="00AD5671"/>
    <w:rsid w:val="00AE170B"/>
    <w:rsid w:val="00AE4B76"/>
    <w:rsid w:val="00AE4DBB"/>
    <w:rsid w:val="00AF2FA1"/>
    <w:rsid w:val="00B03541"/>
    <w:rsid w:val="00B06F46"/>
    <w:rsid w:val="00B21F23"/>
    <w:rsid w:val="00B23C89"/>
    <w:rsid w:val="00B27320"/>
    <w:rsid w:val="00B37CAF"/>
    <w:rsid w:val="00B40BCB"/>
    <w:rsid w:val="00B4619B"/>
    <w:rsid w:val="00B55780"/>
    <w:rsid w:val="00B64EC5"/>
    <w:rsid w:val="00B71073"/>
    <w:rsid w:val="00B75D52"/>
    <w:rsid w:val="00B763EC"/>
    <w:rsid w:val="00B80172"/>
    <w:rsid w:val="00B83969"/>
    <w:rsid w:val="00BA2919"/>
    <w:rsid w:val="00BA3A60"/>
    <w:rsid w:val="00BB13B6"/>
    <w:rsid w:val="00BB1935"/>
    <w:rsid w:val="00BB2C3B"/>
    <w:rsid w:val="00BB401D"/>
    <w:rsid w:val="00BB6321"/>
    <w:rsid w:val="00BC342F"/>
    <w:rsid w:val="00BC7951"/>
    <w:rsid w:val="00BD2765"/>
    <w:rsid w:val="00BD5295"/>
    <w:rsid w:val="00BE0E3B"/>
    <w:rsid w:val="00BE61D5"/>
    <w:rsid w:val="00BF1A15"/>
    <w:rsid w:val="00BF3516"/>
    <w:rsid w:val="00C01F32"/>
    <w:rsid w:val="00C06325"/>
    <w:rsid w:val="00C1038E"/>
    <w:rsid w:val="00C10B0E"/>
    <w:rsid w:val="00C15B54"/>
    <w:rsid w:val="00C2015B"/>
    <w:rsid w:val="00C2017B"/>
    <w:rsid w:val="00C3233F"/>
    <w:rsid w:val="00C434A9"/>
    <w:rsid w:val="00C5503B"/>
    <w:rsid w:val="00C560F3"/>
    <w:rsid w:val="00C63082"/>
    <w:rsid w:val="00C72870"/>
    <w:rsid w:val="00C779CB"/>
    <w:rsid w:val="00C83C2E"/>
    <w:rsid w:val="00C87F3E"/>
    <w:rsid w:val="00C90BA1"/>
    <w:rsid w:val="00C90D8A"/>
    <w:rsid w:val="00C90EB7"/>
    <w:rsid w:val="00C92FE9"/>
    <w:rsid w:val="00C95721"/>
    <w:rsid w:val="00C97570"/>
    <w:rsid w:val="00CA28EC"/>
    <w:rsid w:val="00CA4AB8"/>
    <w:rsid w:val="00CB3A27"/>
    <w:rsid w:val="00CB5FA0"/>
    <w:rsid w:val="00CB7ECF"/>
    <w:rsid w:val="00CC00BF"/>
    <w:rsid w:val="00CC49C9"/>
    <w:rsid w:val="00CC5528"/>
    <w:rsid w:val="00CC56FC"/>
    <w:rsid w:val="00CD0735"/>
    <w:rsid w:val="00CD09AE"/>
    <w:rsid w:val="00CD2960"/>
    <w:rsid w:val="00CD3FD5"/>
    <w:rsid w:val="00CD73C8"/>
    <w:rsid w:val="00CF2F9E"/>
    <w:rsid w:val="00CF6520"/>
    <w:rsid w:val="00D065E0"/>
    <w:rsid w:val="00D147DF"/>
    <w:rsid w:val="00D178FF"/>
    <w:rsid w:val="00D25EF8"/>
    <w:rsid w:val="00D26180"/>
    <w:rsid w:val="00D31D34"/>
    <w:rsid w:val="00D33A33"/>
    <w:rsid w:val="00D423F5"/>
    <w:rsid w:val="00D438FE"/>
    <w:rsid w:val="00D45EF4"/>
    <w:rsid w:val="00D46ACD"/>
    <w:rsid w:val="00D47378"/>
    <w:rsid w:val="00D55316"/>
    <w:rsid w:val="00D70716"/>
    <w:rsid w:val="00D713E2"/>
    <w:rsid w:val="00D77F36"/>
    <w:rsid w:val="00D80A0E"/>
    <w:rsid w:val="00D82169"/>
    <w:rsid w:val="00D84B78"/>
    <w:rsid w:val="00D84DAF"/>
    <w:rsid w:val="00D8708F"/>
    <w:rsid w:val="00D96906"/>
    <w:rsid w:val="00D96984"/>
    <w:rsid w:val="00DB1703"/>
    <w:rsid w:val="00DB7410"/>
    <w:rsid w:val="00DC3A02"/>
    <w:rsid w:val="00DC6543"/>
    <w:rsid w:val="00DD23B6"/>
    <w:rsid w:val="00DD5B49"/>
    <w:rsid w:val="00DF0B9B"/>
    <w:rsid w:val="00DF3FA9"/>
    <w:rsid w:val="00DF5285"/>
    <w:rsid w:val="00E0273D"/>
    <w:rsid w:val="00E20283"/>
    <w:rsid w:val="00E21D95"/>
    <w:rsid w:val="00E220C2"/>
    <w:rsid w:val="00E221E3"/>
    <w:rsid w:val="00E23573"/>
    <w:rsid w:val="00E23E1F"/>
    <w:rsid w:val="00E25E3D"/>
    <w:rsid w:val="00E27758"/>
    <w:rsid w:val="00E35220"/>
    <w:rsid w:val="00E3546C"/>
    <w:rsid w:val="00E37C94"/>
    <w:rsid w:val="00E42129"/>
    <w:rsid w:val="00E55A67"/>
    <w:rsid w:val="00E5643F"/>
    <w:rsid w:val="00E60C02"/>
    <w:rsid w:val="00E64A7B"/>
    <w:rsid w:val="00E65FC8"/>
    <w:rsid w:val="00E6679B"/>
    <w:rsid w:val="00E84AF9"/>
    <w:rsid w:val="00E90C0D"/>
    <w:rsid w:val="00E93457"/>
    <w:rsid w:val="00EA305E"/>
    <w:rsid w:val="00EA525C"/>
    <w:rsid w:val="00EA7F91"/>
    <w:rsid w:val="00EB0148"/>
    <w:rsid w:val="00EB1A7C"/>
    <w:rsid w:val="00EB404F"/>
    <w:rsid w:val="00EC36FE"/>
    <w:rsid w:val="00ED0744"/>
    <w:rsid w:val="00ED5FD5"/>
    <w:rsid w:val="00EE6F6E"/>
    <w:rsid w:val="00EE7FFE"/>
    <w:rsid w:val="00EF24E5"/>
    <w:rsid w:val="00EF4E2F"/>
    <w:rsid w:val="00EF7D14"/>
    <w:rsid w:val="00F11E48"/>
    <w:rsid w:val="00F12D38"/>
    <w:rsid w:val="00F31E35"/>
    <w:rsid w:val="00F34313"/>
    <w:rsid w:val="00F42FAD"/>
    <w:rsid w:val="00F43516"/>
    <w:rsid w:val="00F44469"/>
    <w:rsid w:val="00F45AAA"/>
    <w:rsid w:val="00F50986"/>
    <w:rsid w:val="00F562B1"/>
    <w:rsid w:val="00F56A88"/>
    <w:rsid w:val="00F56C8D"/>
    <w:rsid w:val="00F57596"/>
    <w:rsid w:val="00F709F9"/>
    <w:rsid w:val="00F77DE1"/>
    <w:rsid w:val="00F83D8C"/>
    <w:rsid w:val="00F84A7A"/>
    <w:rsid w:val="00F84BD2"/>
    <w:rsid w:val="00FA03EF"/>
    <w:rsid w:val="00FA092E"/>
    <w:rsid w:val="00FA1DCF"/>
    <w:rsid w:val="00FA4200"/>
    <w:rsid w:val="00FA7F72"/>
    <w:rsid w:val="00FB4B23"/>
    <w:rsid w:val="00FC16E7"/>
    <w:rsid w:val="00FD0685"/>
    <w:rsid w:val="00FD0D73"/>
    <w:rsid w:val="00FD3000"/>
    <w:rsid w:val="00FE3188"/>
    <w:rsid w:val="00FE419A"/>
    <w:rsid w:val="00FF395B"/>
    <w:rsid w:val="00FF4678"/>
    <w:rsid w:val="00FF5691"/>
    <w:rsid w:val="00FF6DB3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ECDB"/>
  <w15:chartTrackingRefBased/>
  <w15:docId w15:val="{4817F8A6-30C7-4EA4-B794-85D39E2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B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33E"/>
  </w:style>
  <w:style w:type="paragraph" w:styleId="Stopka">
    <w:name w:val="footer"/>
    <w:basedOn w:val="Normalny"/>
    <w:link w:val="Stopka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33E"/>
  </w:style>
  <w:style w:type="character" w:styleId="Hipercze">
    <w:name w:val="Hyperlink"/>
    <w:basedOn w:val="Domylnaczcionkaakapitu"/>
    <w:uiPriority w:val="99"/>
    <w:unhideWhenUsed/>
    <w:rsid w:val="00A002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2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C9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86D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D0B4E"/>
  </w:style>
  <w:style w:type="character" w:customStyle="1" w:styleId="normaltextrun">
    <w:name w:val="normaltextrun"/>
    <w:basedOn w:val="Domylnaczcionkaakapitu"/>
    <w:rsid w:val="00821E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9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jestat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1080</Words>
  <Characters>6484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Dałkowska</dc:creator>
  <cp:keywords/>
  <dc:description/>
  <cp:lastModifiedBy>Natalia Bejda</cp:lastModifiedBy>
  <cp:revision>56</cp:revision>
  <dcterms:created xsi:type="dcterms:W3CDTF">2025-12-17T15:09:00Z</dcterms:created>
  <dcterms:modified xsi:type="dcterms:W3CDTF">2026-01-21T13:03:00Z</dcterms:modified>
</cp:coreProperties>
</file>